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sz w:val="24"/>
          <w:szCs w:val="24"/>
        </w:rPr>
      </w:pPr>
      <w:bookmarkStart w:id="0" w:name="page1"/>
      <w:bookmarkEnd w:id="0"/>
      <w:r>
        <w:rPr>
          <w:sz w:val="24"/>
          <w:szCs w:val="24"/>
        </w:rPr>
        <w:drawing>
          <wp:anchor distT="0" distB="0" distL="114300" distR="114300" simplePos="0" relativeHeight="251659264" behindDoc="1" locked="0" layoutInCell="0" allowOverlap="1">
            <wp:simplePos x="0" y="0"/>
            <wp:positionH relativeFrom="page">
              <wp:posOffset>2962910</wp:posOffset>
            </wp:positionH>
            <wp:positionV relativeFrom="page">
              <wp:posOffset>2579370</wp:posOffset>
            </wp:positionV>
            <wp:extent cx="1816735" cy="1445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1816735" cy="1445895"/>
                    </a:xfrm>
                    <a:prstGeom prst="rect">
                      <a:avLst/>
                    </a:prstGeom>
                    <a:noFill/>
                  </pic:spPr>
                </pic:pic>
              </a:graphicData>
            </a:graphic>
          </wp:anchor>
        </w:drawing>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98" w:lineRule="exact"/>
        <w:rPr>
          <w:sz w:val="24"/>
          <w:szCs w:val="24"/>
        </w:rPr>
      </w:pPr>
    </w:p>
    <w:p>
      <w:pPr>
        <w:spacing w:line="810" w:lineRule="exact"/>
        <w:ind w:right="-13"/>
        <w:jc w:val="center"/>
        <w:rPr>
          <w:rFonts w:ascii="黑体" w:hAnsi="黑体" w:eastAsia="黑体" w:cs="黑体"/>
          <w:sz w:val="71"/>
          <w:szCs w:val="71"/>
        </w:rPr>
      </w:pPr>
      <w:r>
        <w:rPr>
          <w:rFonts w:ascii="黑体" w:hAnsi="黑体" w:eastAsia="黑体" w:cs="黑体"/>
          <w:sz w:val="71"/>
          <w:szCs w:val="71"/>
        </w:rPr>
        <w:t>国家统计局</w:t>
      </w:r>
      <w:r>
        <w:rPr>
          <w:rFonts w:hint="eastAsia" w:ascii="黑体" w:hAnsi="黑体" w:eastAsia="黑体" w:cs="黑体"/>
          <w:sz w:val="71"/>
          <w:szCs w:val="71"/>
        </w:rPr>
        <w:t>山西调查总队</w:t>
      </w:r>
    </w:p>
    <w:p>
      <w:pPr>
        <w:spacing w:line="810" w:lineRule="exact"/>
        <w:ind w:right="-13"/>
        <w:jc w:val="center"/>
        <w:rPr>
          <w:sz w:val="20"/>
          <w:szCs w:val="20"/>
        </w:rPr>
      </w:pPr>
      <w:r>
        <w:rPr>
          <w:rFonts w:ascii="黑体" w:hAnsi="黑体" w:eastAsia="黑体" w:cs="黑体"/>
          <w:sz w:val="71"/>
          <w:szCs w:val="71"/>
        </w:rPr>
        <w:t>部门决算</w:t>
      </w:r>
    </w:p>
    <w:p>
      <w:pPr>
        <w:spacing w:line="175" w:lineRule="exact"/>
        <w:rPr>
          <w:sz w:val="24"/>
          <w:szCs w:val="24"/>
        </w:rPr>
      </w:pPr>
    </w:p>
    <w:p>
      <w:pPr>
        <w:spacing w:line="822" w:lineRule="exact"/>
        <w:ind w:right="-13"/>
        <w:jc w:val="center"/>
        <w:rPr>
          <w:sz w:val="20"/>
          <w:szCs w:val="20"/>
        </w:rPr>
        <w:sectPr>
          <w:footerReference r:id="rId3" w:type="default"/>
          <w:pgSz w:w="11900" w:h="16838"/>
          <w:pgMar w:top="1440" w:right="1440" w:bottom="1440" w:left="1440" w:header="0" w:footer="0" w:gutter="0"/>
          <w:cols w:equalWidth="0" w:num="1">
            <w:col w:w="9026"/>
          </w:cols>
        </w:sectPr>
      </w:pPr>
      <w:r>
        <w:rPr>
          <w:rFonts w:ascii="黑体" w:hAnsi="黑体" w:eastAsia="黑体" w:cs="黑体"/>
          <w:sz w:val="72"/>
          <w:szCs w:val="72"/>
        </w:rPr>
        <w:t>（2022）</w:t>
      </w:r>
    </w:p>
    <w:p>
      <w:pPr>
        <w:spacing w:line="295" w:lineRule="exact"/>
        <w:rPr>
          <w:sz w:val="20"/>
          <w:szCs w:val="20"/>
        </w:rPr>
      </w:pPr>
      <w:bookmarkStart w:id="1" w:name="page2"/>
      <w:bookmarkEnd w:id="1"/>
    </w:p>
    <w:p>
      <w:pPr>
        <w:tabs>
          <w:tab w:val="left" w:pos="5140"/>
        </w:tabs>
        <w:spacing w:line="366" w:lineRule="exact"/>
        <w:ind w:left="4200"/>
        <w:rPr>
          <w:sz w:val="20"/>
          <w:szCs w:val="20"/>
        </w:rPr>
      </w:pPr>
      <w:r>
        <w:rPr>
          <w:rFonts w:ascii="黑体" w:hAnsi="黑体" w:eastAsia="黑体" w:cs="黑体"/>
          <w:sz w:val="32"/>
          <w:szCs w:val="32"/>
        </w:rPr>
        <w:t>目</w:t>
      </w:r>
      <w:r>
        <w:rPr>
          <w:sz w:val="20"/>
          <w:szCs w:val="20"/>
        </w:rPr>
        <w:tab/>
      </w:r>
      <w:r>
        <w:rPr>
          <w:rFonts w:ascii="黑体" w:hAnsi="黑体" w:eastAsia="黑体" w:cs="黑体"/>
          <w:sz w:val="32"/>
          <w:szCs w:val="32"/>
        </w:rPr>
        <w:t>录</w:t>
      </w:r>
    </w:p>
    <w:p>
      <w:pPr>
        <w:spacing w:line="336" w:lineRule="exact"/>
        <w:rPr>
          <w:sz w:val="20"/>
          <w:szCs w:val="20"/>
        </w:rPr>
      </w:pPr>
    </w:p>
    <w:p>
      <w:pPr>
        <w:tabs>
          <w:tab w:val="left" w:pos="2580"/>
        </w:tabs>
        <w:spacing w:line="366" w:lineRule="exact"/>
        <w:ind w:left="1000"/>
        <w:rPr>
          <w:sz w:val="20"/>
          <w:szCs w:val="20"/>
        </w:rPr>
      </w:pPr>
      <w:r>
        <w:rPr>
          <w:rFonts w:ascii="黑体" w:hAnsi="黑体" w:eastAsia="黑体" w:cs="黑体"/>
          <w:sz w:val="32"/>
          <w:szCs w:val="32"/>
        </w:rPr>
        <w:t>第一部分</w:t>
      </w:r>
      <w:r>
        <w:rPr>
          <w:rFonts w:ascii="黑体" w:hAnsi="黑体" w:eastAsia="黑体" w:cs="黑体"/>
          <w:sz w:val="32"/>
          <w:szCs w:val="32"/>
        </w:rPr>
        <w:tab/>
      </w:r>
      <w:r>
        <w:rPr>
          <w:rFonts w:ascii="黑体" w:hAnsi="黑体" w:eastAsia="黑体" w:cs="黑体"/>
          <w:sz w:val="32"/>
          <w:szCs w:val="32"/>
        </w:rPr>
        <w:t>国家统计局</w:t>
      </w:r>
      <w:r>
        <w:rPr>
          <w:rFonts w:hint="eastAsia" w:ascii="黑体" w:hAnsi="黑体" w:eastAsia="黑体" w:cs="黑体"/>
          <w:sz w:val="32"/>
          <w:szCs w:val="32"/>
        </w:rPr>
        <w:t>山西调查总队</w:t>
      </w:r>
      <w:r>
        <w:rPr>
          <w:rFonts w:ascii="黑体" w:hAnsi="黑体" w:eastAsia="黑体" w:cs="黑体"/>
          <w:sz w:val="32"/>
          <w:szCs w:val="32"/>
        </w:rPr>
        <w:t>概况</w:t>
      </w:r>
    </w:p>
    <w:p>
      <w:pPr>
        <w:spacing w:line="200" w:lineRule="exact"/>
        <w:rPr>
          <w:sz w:val="20"/>
          <w:szCs w:val="20"/>
        </w:rPr>
      </w:pPr>
    </w:p>
    <w:p>
      <w:pPr>
        <w:spacing w:line="215" w:lineRule="exact"/>
        <w:rPr>
          <w:sz w:val="20"/>
          <w:szCs w:val="20"/>
        </w:rPr>
      </w:pPr>
    </w:p>
    <w:p>
      <w:pPr>
        <w:spacing w:line="366" w:lineRule="exact"/>
        <w:ind w:left="1060"/>
        <w:rPr>
          <w:rFonts w:ascii="仿宋" w:hAnsi="仿宋" w:eastAsia="仿宋"/>
          <w:sz w:val="20"/>
          <w:szCs w:val="20"/>
        </w:rPr>
      </w:pPr>
      <w:r>
        <w:rPr>
          <w:rFonts w:ascii="仿宋" w:hAnsi="仿宋" w:eastAsia="仿宋" w:cs="宋体"/>
          <w:sz w:val="32"/>
          <w:szCs w:val="32"/>
        </w:rPr>
        <w:t>一、部门职责</w:t>
      </w:r>
    </w:p>
    <w:p>
      <w:pPr>
        <w:spacing w:line="259" w:lineRule="exact"/>
        <w:rPr>
          <w:rFonts w:ascii="仿宋" w:hAnsi="仿宋" w:eastAsia="仿宋"/>
          <w:sz w:val="20"/>
          <w:szCs w:val="20"/>
        </w:rPr>
      </w:pPr>
    </w:p>
    <w:p>
      <w:pPr>
        <w:spacing w:line="366" w:lineRule="exact"/>
        <w:ind w:left="1060"/>
        <w:rPr>
          <w:rFonts w:ascii="仿宋" w:hAnsi="仿宋" w:eastAsia="仿宋"/>
          <w:sz w:val="20"/>
          <w:szCs w:val="20"/>
        </w:rPr>
      </w:pPr>
      <w:r>
        <w:rPr>
          <w:rFonts w:ascii="仿宋" w:hAnsi="仿宋" w:eastAsia="仿宋" w:cs="宋体"/>
          <w:sz w:val="32"/>
          <w:szCs w:val="32"/>
        </w:rPr>
        <w:t>二、部门决算单位构成</w:t>
      </w:r>
    </w:p>
    <w:p>
      <w:pPr>
        <w:spacing w:line="200" w:lineRule="exact"/>
        <w:rPr>
          <w:sz w:val="20"/>
          <w:szCs w:val="20"/>
        </w:rPr>
      </w:pPr>
    </w:p>
    <w:p>
      <w:pPr>
        <w:spacing w:line="216" w:lineRule="exact"/>
        <w:rPr>
          <w:sz w:val="20"/>
          <w:szCs w:val="20"/>
        </w:rPr>
      </w:pPr>
    </w:p>
    <w:p>
      <w:pPr>
        <w:tabs>
          <w:tab w:val="left" w:pos="2580"/>
        </w:tabs>
        <w:spacing w:line="366" w:lineRule="exact"/>
        <w:ind w:left="1000"/>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部分</w:t>
      </w:r>
      <w:r>
        <w:rPr>
          <w:rFonts w:ascii="黑体" w:hAnsi="黑体" w:eastAsia="黑体" w:cs="黑体"/>
          <w:sz w:val="32"/>
          <w:szCs w:val="32"/>
        </w:rPr>
        <w:tab/>
      </w:r>
      <w:r>
        <w:rPr>
          <w:rFonts w:ascii="黑体" w:hAnsi="黑体" w:eastAsia="黑体" w:cs="黑体"/>
          <w:sz w:val="32"/>
          <w:szCs w:val="32"/>
        </w:rPr>
        <w:t>国家统计局</w:t>
      </w:r>
      <w:r>
        <w:rPr>
          <w:rFonts w:hint="eastAsia" w:ascii="黑体" w:hAnsi="黑体" w:eastAsia="黑体" w:cs="黑体"/>
          <w:sz w:val="32"/>
          <w:szCs w:val="32"/>
        </w:rPr>
        <w:t>山西调查总队</w:t>
      </w:r>
      <w:r>
        <w:rPr>
          <w:rFonts w:ascii="黑体" w:hAnsi="黑体" w:eastAsia="黑体" w:cs="黑体"/>
          <w:sz w:val="32"/>
          <w:szCs w:val="32"/>
        </w:rPr>
        <w:t>2022年部门决算</w:t>
      </w:r>
      <w:r>
        <w:rPr>
          <w:rFonts w:hint="eastAsia" w:ascii="黑体" w:hAnsi="黑体" w:eastAsia="黑体" w:cs="黑体"/>
          <w:sz w:val="32"/>
          <w:szCs w:val="32"/>
        </w:rPr>
        <w:t>表</w:t>
      </w:r>
    </w:p>
    <w:p>
      <w:pPr>
        <w:spacing w:line="392" w:lineRule="exact"/>
        <w:rPr>
          <w:sz w:val="20"/>
          <w:szCs w:val="20"/>
        </w:rPr>
      </w:pPr>
    </w:p>
    <w:tbl>
      <w:tblPr>
        <w:tblStyle w:val="4"/>
        <w:tblW w:w="8231" w:type="dxa"/>
        <w:tblInd w:w="1060" w:type="dxa"/>
        <w:tblLayout w:type="fixed"/>
        <w:tblCellMar>
          <w:top w:w="0" w:type="dxa"/>
          <w:left w:w="0" w:type="dxa"/>
          <w:bottom w:w="0" w:type="dxa"/>
          <w:right w:w="0" w:type="dxa"/>
        </w:tblCellMar>
      </w:tblPr>
      <w:tblGrid>
        <w:gridCol w:w="1746"/>
        <w:gridCol w:w="6485"/>
      </w:tblGrid>
      <w:tr>
        <w:tblPrEx>
          <w:tblCellMar>
            <w:top w:w="0" w:type="dxa"/>
            <w:left w:w="0" w:type="dxa"/>
            <w:bottom w:w="0" w:type="dxa"/>
            <w:right w:w="0" w:type="dxa"/>
          </w:tblCellMar>
        </w:tblPrEx>
        <w:trPr>
          <w:trHeight w:val="386" w:hRule="atLeast"/>
        </w:trPr>
        <w:tc>
          <w:tcPr>
            <w:tcW w:w="1746" w:type="dxa"/>
            <w:vAlign w:val="bottom"/>
          </w:tcPr>
          <w:p>
            <w:pPr>
              <w:spacing w:line="388" w:lineRule="exact"/>
              <w:rPr>
                <w:rFonts w:ascii="仿宋" w:hAnsi="仿宋" w:eastAsia="仿宋"/>
                <w:sz w:val="32"/>
                <w:szCs w:val="32"/>
              </w:rPr>
            </w:pPr>
            <w:r>
              <w:rPr>
                <w:rFonts w:ascii="仿宋" w:hAnsi="仿宋" w:eastAsia="仿宋" w:cs="宋体"/>
                <w:sz w:val="32"/>
                <w:szCs w:val="32"/>
              </w:rPr>
              <w:t>公开</w:t>
            </w:r>
            <w:r>
              <w:rPr>
                <w:rFonts w:ascii="仿宋" w:hAnsi="仿宋" w:eastAsia="仿宋" w:cs="Arial"/>
                <w:sz w:val="32"/>
                <w:szCs w:val="32"/>
              </w:rPr>
              <w:t>01</w:t>
            </w:r>
            <w:r>
              <w:rPr>
                <w:rFonts w:ascii="仿宋" w:hAnsi="仿宋" w:eastAsia="仿宋" w:cs="宋体"/>
                <w:sz w:val="32"/>
                <w:szCs w:val="32"/>
              </w:rPr>
              <w:t>表</w:t>
            </w:r>
          </w:p>
        </w:tc>
        <w:tc>
          <w:tcPr>
            <w:tcW w:w="6485" w:type="dxa"/>
            <w:vAlign w:val="bottom"/>
          </w:tcPr>
          <w:p>
            <w:pPr>
              <w:spacing w:line="366" w:lineRule="exact"/>
              <w:ind w:left="160"/>
              <w:rPr>
                <w:rFonts w:ascii="仿宋" w:hAnsi="仿宋" w:eastAsia="仿宋"/>
                <w:sz w:val="32"/>
                <w:szCs w:val="32"/>
              </w:rPr>
            </w:pPr>
            <w:r>
              <w:rPr>
                <w:rFonts w:ascii="仿宋" w:hAnsi="仿宋" w:eastAsia="仿宋" w:cs="宋体"/>
                <w:sz w:val="32"/>
                <w:szCs w:val="32"/>
              </w:rPr>
              <w:t>收入支出决算总表</w:t>
            </w:r>
          </w:p>
        </w:tc>
      </w:tr>
      <w:tr>
        <w:tblPrEx>
          <w:tblCellMar>
            <w:top w:w="0" w:type="dxa"/>
            <w:left w:w="0" w:type="dxa"/>
            <w:bottom w:w="0" w:type="dxa"/>
            <w:right w:w="0" w:type="dxa"/>
          </w:tblCellMar>
        </w:tblPrEx>
        <w:trPr>
          <w:trHeight w:val="621" w:hRule="atLeast"/>
        </w:trPr>
        <w:tc>
          <w:tcPr>
            <w:tcW w:w="1746" w:type="dxa"/>
            <w:vAlign w:val="bottom"/>
          </w:tcPr>
          <w:p>
            <w:pPr>
              <w:spacing w:line="388" w:lineRule="exact"/>
              <w:rPr>
                <w:rFonts w:ascii="仿宋" w:hAnsi="仿宋" w:eastAsia="仿宋"/>
                <w:sz w:val="32"/>
                <w:szCs w:val="32"/>
              </w:rPr>
            </w:pPr>
            <w:r>
              <w:rPr>
                <w:rFonts w:ascii="仿宋" w:hAnsi="仿宋" w:eastAsia="仿宋" w:cs="宋体"/>
                <w:sz w:val="32"/>
                <w:szCs w:val="32"/>
              </w:rPr>
              <w:t>公开</w:t>
            </w:r>
            <w:r>
              <w:rPr>
                <w:rFonts w:ascii="仿宋" w:hAnsi="仿宋" w:eastAsia="仿宋" w:cs="Arial"/>
                <w:sz w:val="32"/>
                <w:szCs w:val="32"/>
              </w:rPr>
              <w:t>02</w:t>
            </w:r>
            <w:r>
              <w:rPr>
                <w:rFonts w:ascii="仿宋" w:hAnsi="仿宋" w:eastAsia="仿宋" w:cs="宋体"/>
                <w:sz w:val="32"/>
                <w:szCs w:val="32"/>
              </w:rPr>
              <w:t>表</w:t>
            </w:r>
          </w:p>
        </w:tc>
        <w:tc>
          <w:tcPr>
            <w:tcW w:w="6485" w:type="dxa"/>
            <w:vAlign w:val="bottom"/>
          </w:tcPr>
          <w:p>
            <w:pPr>
              <w:spacing w:line="366" w:lineRule="exact"/>
              <w:ind w:left="160"/>
              <w:rPr>
                <w:rFonts w:ascii="仿宋" w:hAnsi="仿宋" w:eastAsia="仿宋"/>
                <w:sz w:val="32"/>
                <w:szCs w:val="32"/>
              </w:rPr>
            </w:pPr>
            <w:r>
              <w:rPr>
                <w:rFonts w:ascii="仿宋" w:hAnsi="仿宋" w:eastAsia="仿宋" w:cs="宋体"/>
                <w:sz w:val="32"/>
                <w:szCs w:val="32"/>
              </w:rPr>
              <w:t>收入决算表</w:t>
            </w:r>
          </w:p>
        </w:tc>
      </w:tr>
      <w:tr>
        <w:tblPrEx>
          <w:tblCellMar>
            <w:top w:w="0" w:type="dxa"/>
            <w:left w:w="0" w:type="dxa"/>
            <w:bottom w:w="0" w:type="dxa"/>
            <w:right w:w="0" w:type="dxa"/>
          </w:tblCellMar>
        </w:tblPrEx>
        <w:trPr>
          <w:trHeight w:val="621" w:hRule="atLeast"/>
        </w:trPr>
        <w:tc>
          <w:tcPr>
            <w:tcW w:w="1746" w:type="dxa"/>
            <w:vAlign w:val="bottom"/>
          </w:tcPr>
          <w:p>
            <w:pPr>
              <w:spacing w:line="388" w:lineRule="exact"/>
              <w:rPr>
                <w:rFonts w:ascii="仿宋" w:hAnsi="仿宋" w:eastAsia="仿宋"/>
                <w:sz w:val="32"/>
                <w:szCs w:val="32"/>
              </w:rPr>
            </w:pPr>
            <w:r>
              <w:rPr>
                <w:rFonts w:ascii="仿宋" w:hAnsi="仿宋" w:eastAsia="仿宋" w:cs="宋体"/>
                <w:sz w:val="32"/>
                <w:szCs w:val="32"/>
              </w:rPr>
              <w:t>公开</w:t>
            </w:r>
            <w:r>
              <w:rPr>
                <w:rFonts w:ascii="仿宋" w:hAnsi="仿宋" w:eastAsia="仿宋" w:cs="Arial"/>
                <w:sz w:val="32"/>
                <w:szCs w:val="32"/>
              </w:rPr>
              <w:t>03</w:t>
            </w:r>
            <w:r>
              <w:rPr>
                <w:rFonts w:ascii="仿宋" w:hAnsi="仿宋" w:eastAsia="仿宋" w:cs="宋体"/>
                <w:sz w:val="32"/>
                <w:szCs w:val="32"/>
              </w:rPr>
              <w:t>表</w:t>
            </w:r>
          </w:p>
        </w:tc>
        <w:tc>
          <w:tcPr>
            <w:tcW w:w="6485" w:type="dxa"/>
            <w:vAlign w:val="bottom"/>
          </w:tcPr>
          <w:p>
            <w:pPr>
              <w:spacing w:line="366" w:lineRule="exact"/>
              <w:ind w:left="160"/>
              <w:rPr>
                <w:rFonts w:ascii="仿宋" w:hAnsi="仿宋" w:eastAsia="仿宋"/>
                <w:sz w:val="32"/>
                <w:szCs w:val="32"/>
              </w:rPr>
            </w:pPr>
            <w:r>
              <w:rPr>
                <w:rFonts w:ascii="仿宋" w:hAnsi="仿宋" w:eastAsia="仿宋" w:cs="宋体"/>
                <w:sz w:val="32"/>
                <w:szCs w:val="32"/>
              </w:rPr>
              <w:t>支出决算表</w:t>
            </w:r>
          </w:p>
        </w:tc>
      </w:tr>
      <w:tr>
        <w:tblPrEx>
          <w:tblCellMar>
            <w:top w:w="0" w:type="dxa"/>
            <w:left w:w="0" w:type="dxa"/>
            <w:bottom w:w="0" w:type="dxa"/>
            <w:right w:w="0" w:type="dxa"/>
          </w:tblCellMar>
        </w:tblPrEx>
        <w:trPr>
          <w:trHeight w:val="621" w:hRule="atLeast"/>
        </w:trPr>
        <w:tc>
          <w:tcPr>
            <w:tcW w:w="1746" w:type="dxa"/>
            <w:vAlign w:val="bottom"/>
          </w:tcPr>
          <w:p>
            <w:pPr>
              <w:spacing w:line="388" w:lineRule="exact"/>
              <w:rPr>
                <w:rFonts w:ascii="仿宋" w:hAnsi="仿宋" w:eastAsia="仿宋"/>
                <w:sz w:val="32"/>
                <w:szCs w:val="32"/>
              </w:rPr>
            </w:pPr>
            <w:r>
              <w:rPr>
                <w:rFonts w:ascii="仿宋" w:hAnsi="仿宋" w:eastAsia="仿宋" w:cs="宋体"/>
                <w:sz w:val="32"/>
                <w:szCs w:val="32"/>
              </w:rPr>
              <w:t>公开</w:t>
            </w:r>
            <w:r>
              <w:rPr>
                <w:rFonts w:ascii="仿宋" w:hAnsi="仿宋" w:eastAsia="仿宋" w:cs="Arial"/>
                <w:sz w:val="32"/>
                <w:szCs w:val="32"/>
              </w:rPr>
              <w:t>04</w:t>
            </w:r>
            <w:r>
              <w:rPr>
                <w:rFonts w:ascii="仿宋" w:hAnsi="仿宋" w:eastAsia="仿宋" w:cs="宋体"/>
                <w:sz w:val="32"/>
                <w:szCs w:val="32"/>
              </w:rPr>
              <w:t>表</w:t>
            </w:r>
          </w:p>
        </w:tc>
        <w:tc>
          <w:tcPr>
            <w:tcW w:w="6485" w:type="dxa"/>
            <w:vAlign w:val="bottom"/>
          </w:tcPr>
          <w:p>
            <w:pPr>
              <w:spacing w:line="366" w:lineRule="exact"/>
              <w:ind w:left="160"/>
              <w:rPr>
                <w:rFonts w:ascii="仿宋" w:hAnsi="仿宋" w:eastAsia="仿宋"/>
                <w:sz w:val="32"/>
                <w:szCs w:val="32"/>
              </w:rPr>
            </w:pPr>
            <w:r>
              <w:rPr>
                <w:rFonts w:ascii="仿宋" w:hAnsi="仿宋" w:eastAsia="仿宋" w:cs="宋体"/>
                <w:sz w:val="32"/>
                <w:szCs w:val="32"/>
              </w:rPr>
              <w:t>财政拨款收入支出决算总表</w:t>
            </w:r>
          </w:p>
        </w:tc>
      </w:tr>
      <w:tr>
        <w:tblPrEx>
          <w:tblCellMar>
            <w:top w:w="0" w:type="dxa"/>
            <w:left w:w="0" w:type="dxa"/>
            <w:bottom w:w="0" w:type="dxa"/>
            <w:right w:w="0" w:type="dxa"/>
          </w:tblCellMar>
        </w:tblPrEx>
        <w:trPr>
          <w:trHeight w:val="621" w:hRule="atLeast"/>
        </w:trPr>
        <w:tc>
          <w:tcPr>
            <w:tcW w:w="1746" w:type="dxa"/>
            <w:vAlign w:val="bottom"/>
          </w:tcPr>
          <w:p>
            <w:pPr>
              <w:spacing w:line="388" w:lineRule="exact"/>
              <w:rPr>
                <w:rFonts w:ascii="仿宋" w:hAnsi="仿宋" w:eastAsia="仿宋"/>
                <w:sz w:val="32"/>
                <w:szCs w:val="32"/>
              </w:rPr>
            </w:pPr>
            <w:r>
              <w:rPr>
                <w:rFonts w:ascii="仿宋" w:hAnsi="仿宋" w:eastAsia="仿宋" w:cs="宋体"/>
                <w:sz w:val="32"/>
                <w:szCs w:val="32"/>
              </w:rPr>
              <w:t>公开</w:t>
            </w:r>
            <w:r>
              <w:rPr>
                <w:rFonts w:ascii="仿宋" w:hAnsi="仿宋" w:eastAsia="仿宋" w:cs="Arial"/>
                <w:sz w:val="32"/>
                <w:szCs w:val="32"/>
              </w:rPr>
              <w:t>05</w:t>
            </w:r>
            <w:r>
              <w:rPr>
                <w:rFonts w:ascii="仿宋" w:hAnsi="仿宋" w:eastAsia="仿宋" w:cs="宋体"/>
                <w:sz w:val="32"/>
                <w:szCs w:val="32"/>
              </w:rPr>
              <w:t>表</w:t>
            </w:r>
          </w:p>
        </w:tc>
        <w:tc>
          <w:tcPr>
            <w:tcW w:w="6485" w:type="dxa"/>
            <w:vAlign w:val="bottom"/>
          </w:tcPr>
          <w:p>
            <w:pPr>
              <w:spacing w:line="366" w:lineRule="exact"/>
              <w:ind w:left="160"/>
              <w:rPr>
                <w:rFonts w:ascii="仿宋" w:hAnsi="仿宋" w:eastAsia="仿宋"/>
                <w:sz w:val="32"/>
                <w:szCs w:val="32"/>
              </w:rPr>
            </w:pPr>
            <w:r>
              <w:rPr>
                <w:rFonts w:ascii="仿宋" w:hAnsi="仿宋" w:eastAsia="仿宋" w:cs="宋体"/>
                <w:sz w:val="32"/>
                <w:szCs w:val="32"/>
              </w:rPr>
              <w:t>一般公共预算财政拨款支出决算表</w:t>
            </w:r>
          </w:p>
        </w:tc>
      </w:tr>
      <w:tr>
        <w:tblPrEx>
          <w:tblCellMar>
            <w:top w:w="0" w:type="dxa"/>
            <w:left w:w="0" w:type="dxa"/>
            <w:bottom w:w="0" w:type="dxa"/>
            <w:right w:w="0" w:type="dxa"/>
          </w:tblCellMar>
        </w:tblPrEx>
        <w:trPr>
          <w:trHeight w:val="621" w:hRule="atLeast"/>
        </w:trPr>
        <w:tc>
          <w:tcPr>
            <w:tcW w:w="1746" w:type="dxa"/>
            <w:vAlign w:val="bottom"/>
          </w:tcPr>
          <w:p>
            <w:pPr>
              <w:spacing w:line="388" w:lineRule="exact"/>
              <w:rPr>
                <w:rFonts w:ascii="仿宋" w:hAnsi="仿宋" w:eastAsia="仿宋"/>
                <w:sz w:val="32"/>
                <w:szCs w:val="32"/>
              </w:rPr>
            </w:pPr>
            <w:r>
              <w:rPr>
                <w:rFonts w:ascii="仿宋" w:hAnsi="仿宋" w:eastAsia="仿宋" w:cs="宋体"/>
                <w:sz w:val="32"/>
                <w:szCs w:val="32"/>
              </w:rPr>
              <w:t>公开</w:t>
            </w:r>
            <w:r>
              <w:rPr>
                <w:rFonts w:ascii="仿宋" w:hAnsi="仿宋" w:eastAsia="仿宋" w:cs="Arial"/>
                <w:sz w:val="32"/>
                <w:szCs w:val="32"/>
              </w:rPr>
              <w:t>06</w:t>
            </w:r>
            <w:r>
              <w:rPr>
                <w:rFonts w:ascii="仿宋" w:hAnsi="仿宋" w:eastAsia="仿宋" w:cs="宋体"/>
                <w:sz w:val="32"/>
                <w:szCs w:val="32"/>
              </w:rPr>
              <w:t>表</w:t>
            </w:r>
          </w:p>
        </w:tc>
        <w:tc>
          <w:tcPr>
            <w:tcW w:w="6485" w:type="dxa"/>
            <w:vAlign w:val="bottom"/>
          </w:tcPr>
          <w:p>
            <w:pPr>
              <w:spacing w:line="366" w:lineRule="exact"/>
              <w:ind w:left="160"/>
              <w:rPr>
                <w:rFonts w:ascii="仿宋" w:hAnsi="仿宋" w:eastAsia="仿宋"/>
                <w:sz w:val="32"/>
                <w:szCs w:val="32"/>
              </w:rPr>
            </w:pPr>
            <w:r>
              <w:rPr>
                <w:rFonts w:ascii="仿宋" w:hAnsi="仿宋" w:eastAsia="仿宋" w:cs="宋体"/>
                <w:sz w:val="32"/>
                <w:szCs w:val="32"/>
              </w:rPr>
              <w:t>一般公共预算财政拨款基本支出决算表</w:t>
            </w:r>
          </w:p>
        </w:tc>
      </w:tr>
      <w:tr>
        <w:tblPrEx>
          <w:tblCellMar>
            <w:top w:w="0" w:type="dxa"/>
            <w:left w:w="0" w:type="dxa"/>
            <w:bottom w:w="0" w:type="dxa"/>
            <w:right w:w="0" w:type="dxa"/>
          </w:tblCellMar>
        </w:tblPrEx>
        <w:trPr>
          <w:trHeight w:val="644" w:hRule="atLeast"/>
        </w:trPr>
        <w:tc>
          <w:tcPr>
            <w:tcW w:w="1746" w:type="dxa"/>
            <w:vAlign w:val="bottom"/>
          </w:tcPr>
          <w:p>
            <w:pPr>
              <w:spacing w:line="388" w:lineRule="exact"/>
              <w:rPr>
                <w:rFonts w:ascii="仿宋" w:hAnsi="仿宋" w:eastAsia="仿宋"/>
                <w:sz w:val="32"/>
                <w:szCs w:val="32"/>
              </w:rPr>
            </w:pPr>
            <w:r>
              <w:rPr>
                <w:rFonts w:ascii="仿宋" w:hAnsi="仿宋" w:eastAsia="仿宋" w:cs="宋体"/>
                <w:sz w:val="32"/>
                <w:szCs w:val="32"/>
              </w:rPr>
              <w:t>公开</w:t>
            </w:r>
            <w:r>
              <w:rPr>
                <w:rFonts w:ascii="仿宋" w:hAnsi="仿宋" w:eastAsia="仿宋" w:cs="Arial"/>
                <w:sz w:val="32"/>
                <w:szCs w:val="32"/>
              </w:rPr>
              <w:t>07</w:t>
            </w:r>
            <w:r>
              <w:rPr>
                <w:rFonts w:ascii="仿宋" w:hAnsi="仿宋" w:eastAsia="仿宋" w:cs="宋体"/>
                <w:sz w:val="32"/>
                <w:szCs w:val="32"/>
              </w:rPr>
              <w:t>表</w:t>
            </w:r>
          </w:p>
        </w:tc>
        <w:tc>
          <w:tcPr>
            <w:tcW w:w="6485" w:type="dxa"/>
            <w:vAlign w:val="bottom"/>
          </w:tcPr>
          <w:p>
            <w:pPr>
              <w:spacing w:line="366" w:lineRule="exact"/>
              <w:ind w:left="160"/>
              <w:rPr>
                <w:rFonts w:ascii="仿宋" w:hAnsi="仿宋" w:eastAsia="仿宋"/>
                <w:sz w:val="32"/>
                <w:szCs w:val="32"/>
              </w:rPr>
            </w:pPr>
          </w:p>
          <w:p>
            <w:pPr>
              <w:spacing w:line="366" w:lineRule="exact"/>
              <w:ind w:left="160"/>
              <w:rPr>
                <w:rFonts w:ascii="仿宋" w:hAnsi="仿宋" w:eastAsia="仿宋"/>
                <w:sz w:val="32"/>
                <w:szCs w:val="32"/>
              </w:rPr>
            </w:pPr>
            <w:r>
              <w:rPr>
                <w:rFonts w:hint="eastAsia" w:ascii="仿宋" w:hAnsi="仿宋" w:eastAsia="仿宋" w:cs="宋体"/>
                <w:sz w:val="32"/>
                <w:szCs w:val="32"/>
              </w:rPr>
              <w:t>财政</w:t>
            </w:r>
            <w:r>
              <w:rPr>
                <w:rFonts w:ascii="仿宋" w:hAnsi="仿宋" w:eastAsia="仿宋" w:cs="宋体"/>
                <w:sz w:val="32"/>
                <w:szCs w:val="32"/>
              </w:rPr>
              <w:t>拨款</w:t>
            </w:r>
            <w:r>
              <w:rPr>
                <w:rFonts w:hint="eastAsia" w:ascii="仿宋" w:hAnsi="仿宋" w:eastAsia="仿宋" w:cs="宋体"/>
                <w:sz w:val="32"/>
                <w:szCs w:val="32"/>
              </w:rPr>
              <w:t>“三公</w:t>
            </w:r>
            <w:r>
              <w:rPr>
                <w:rFonts w:ascii="仿宋" w:hAnsi="仿宋" w:eastAsia="仿宋" w:cs="宋体"/>
                <w:sz w:val="32"/>
                <w:szCs w:val="32"/>
              </w:rPr>
              <w:t>经费</w:t>
            </w:r>
            <w:r>
              <w:rPr>
                <w:rFonts w:hint="eastAsia" w:ascii="仿宋" w:hAnsi="仿宋" w:eastAsia="仿宋" w:cs="宋体"/>
                <w:sz w:val="32"/>
                <w:szCs w:val="32"/>
              </w:rPr>
              <w:t>”</w:t>
            </w:r>
            <w:r>
              <w:rPr>
                <w:rFonts w:ascii="仿宋" w:hAnsi="仿宋" w:eastAsia="仿宋" w:cs="宋体"/>
                <w:sz w:val="32"/>
                <w:szCs w:val="32"/>
              </w:rPr>
              <w:t>支出决算表</w:t>
            </w:r>
          </w:p>
        </w:tc>
      </w:tr>
    </w:tbl>
    <w:p>
      <w:pPr>
        <w:spacing w:line="200" w:lineRule="exact"/>
        <w:rPr>
          <w:sz w:val="20"/>
          <w:szCs w:val="20"/>
        </w:rPr>
      </w:pPr>
    </w:p>
    <w:p>
      <w:pPr>
        <w:spacing w:line="215" w:lineRule="exact"/>
        <w:rPr>
          <w:sz w:val="20"/>
          <w:szCs w:val="20"/>
        </w:rPr>
      </w:pPr>
    </w:p>
    <w:p>
      <w:pPr>
        <w:tabs>
          <w:tab w:val="left" w:pos="2580"/>
        </w:tabs>
        <w:spacing w:line="366" w:lineRule="exact"/>
        <w:ind w:left="1000"/>
        <w:rPr>
          <w:rFonts w:ascii="黑体" w:hAnsi="黑体" w:eastAsia="黑体" w:cs="黑体"/>
          <w:sz w:val="32"/>
          <w:szCs w:val="32"/>
        </w:rPr>
      </w:pPr>
      <w:r>
        <w:rPr>
          <w:rFonts w:ascii="黑体" w:hAnsi="黑体" w:eastAsia="黑体" w:cs="黑体"/>
          <w:sz w:val="32"/>
          <w:szCs w:val="32"/>
        </w:rPr>
        <w:t>第三部分</w:t>
      </w:r>
      <w:r>
        <w:rPr>
          <w:rFonts w:ascii="黑体" w:hAnsi="黑体" w:eastAsia="黑体" w:cs="黑体"/>
          <w:sz w:val="32"/>
          <w:szCs w:val="32"/>
        </w:rPr>
        <w:tab/>
      </w:r>
      <w:r>
        <w:rPr>
          <w:rFonts w:ascii="黑体" w:hAnsi="黑体" w:eastAsia="黑体" w:cs="黑体"/>
          <w:sz w:val="32"/>
          <w:szCs w:val="32"/>
        </w:rPr>
        <w:t>国家统计局</w:t>
      </w:r>
      <w:r>
        <w:rPr>
          <w:rFonts w:hint="eastAsia" w:ascii="黑体" w:hAnsi="黑体" w:eastAsia="黑体" w:cs="黑体"/>
          <w:sz w:val="32"/>
          <w:szCs w:val="32"/>
        </w:rPr>
        <w:t>山西调查总队</w:t>
      </w:r>
      <w:r>
        <w:rPr>
          <w:rFonts w:ascii="黑体" w:hAnsi="黑体" w:eastAsia="黑体" w:cs="黑体"/>
          <w:sz w:val="32"/>
          <w:szCs w:val="32"/>
        </w:rPr>
        <w:t>2022年度部门决算情况说明</w:t>
      </w:r>
    </w:p>
    <w:p>
      <w:pPr>
        <w:spacing w:line="200" w:lineRule="exact"/>
        <w:rPr>
          <w:sz w:val="20"/>
          <w:szCs w:val="20"/>
        </w:rPr>
      </w:pPr>
    </w:p>
    <w:p>
      <w:pPr>
        <w:spacing w:line="216" w:lineRule="exact"/>
        <w:rPr>
          <w:sz w:val="20"/>
          <w:szCs w:val="20"/>
        </w:rPr>
      </w:pPr>
    </w:p>
    <w:p>
      <w:pPr>
        <w:spacing w:line="366" w:lineRule="exact"/>
        <w:ind w:left="1060"/>
        <w:rPr>
          <w:rFonts w:ascii="仿宋" w:hAnsi="仿宋" w:eastAsia="仿宋"/>
          <w:sz w:val="20"/>
          <w:szCs w:val="20"/>
        </w:rPr>
      </w:pPr>
      <w:r>
        <w:rPr>
          <w:rFonts w:ascii="仿宋" w:hAnsi="仿宋" w:eastAsia="仿宋" w:cs="宋体"/>
          <w:sz w:val="32"/>
          <w:szCs w:val="32"/>
        </w:rPr>
        <w:t>一、收入支出总体情况说明</w:t>
      </w:r>
    </w:p>
    <w:p>
      <w:pPr>
        <w:spacing w:line="259" w:lineRule="exact"/>
        <w:rPr>
          <w:rFonts w:ascii="仿宋" w:hAnsi="仿宋" w:eastAsia="仿宋"/>
          <w:sz w:val="20"/>
          <w:szCs w:val="20"/>
        </w:rPr>
      </w:pPr>
    </w:p>
    <w:p>
      <w:pPr>
        <w:spacing w:line="366" w:lineRule="exact"/>
        <w:ind w:left="1060"/>
        <w:rPr>
          <w:rFonts w:ascii="仿宋" w:hAnsi="仿宋" w:eastAsia="仿宋"/>
          <w:sz w:val="20"/>
          <w:szCs w:val="20"/>
        </w:rPr>
      </w:pPr>
      <w:r>
        <w:rPr>
          <w:rFonts w:ascii="仿宋" w:hAnsi="仿宋" w:eastAsia="仿宋" w:cs="宋体"/>
          <w:sz w:val="32"/>
          <w:szCs w:val="32"/>
        </w:rPr>
        <w:t>二、一般公共预算财政拨款支出情况说明</w:t>
      </w:r>
    </w:p>
    <w:p>
      <w:pPr>
        <w:spacing w:line="259" w:lineRule="exact"/>
        <w:rPr>
          <w:rFonts w:ascii="仿宋" w:hAnsi="仿宋" w:eastAsia="仿宋"/>
          <w:sz w:val="20"/>
          <w:szCs w:val="20"/>
        </w:rPr>
      </w:pPr>
    </w:p>
    <w:p>
      <w:pPr>
        <w:spacing w:line="366" w:lineRule="exact"/>
        <w:ind w:left="1060"/>
        <w:rPr>
          <w:rFonts w:ascii="仿宋" w:hAnsi="仿宋" w:eastAsia="仿宋"/>
          <w:sz w:val="20"/>
          <w:szCs w:val="20"/>
        </w:rPr>
      </w:pPr>
      <w:r>
        <w:rPr>
          <w:rFonts w:ascii="仿宋" w:hAnsi="仿宋" w:eastAsia="仿宋" w:cs="宋体"/>
          <w:sz w:val="32"/>
          <w:szCs w:val="32"/>
        </w:rPr>
        <w:t>三、一般公共预算财政拨款基本支出情况说明</w:t>
      </w:r>
    </w:p>
    <w:p>
      <w:pPr>
        <w:spacing w:line="237" w:lineRule="exact"/>
        <w:rPr>
          <w:rFonts w:ascii="仿宋" w:hAnsi="仿宋" w:eastAsia="仿宋"/>
          <w:sz w:val="20"/>
          <w:szCs w:val="20"/>
        </w:rPr>
      </w:pPr>
    </w:p>
    <w:p>
      <w:pPr>
        <w:spacing w:line="81" w:lineRule="exact"/>
        <w:rPr>
          <w:rFonts w:ascii="仿宋" w:hAnsi="仿宋" w:eastAsia="仿宋"/>
          <w:sz w:val="20"/>
          <w:szCs w:val="20"/>
        </w:rPr>
      </w:pPr>
    </w:p>
    <w:p>
      <w:pPr>
        <w:spacing w:line="388" w:lineRule="exact"/>
        <w:ind w:left="1060"/>
        <w:rPr>
          <w:rFonts w:ascii="仿宋" w:hAnsi="仿宋" w:eastAsia="仿宋" w:cs="宋体"/>
          <w:sz w:val="32"/>
          <w:szCs w:val="32"/>
        </w:rPr>
      </w:pPr>
      <w:r>
        <w:rPr>
          <w:rFonts w:ascii="仿宋" w:hAnsi="仿宋" w:eastAsia="仿宋" w:cs="宋体"/>
          <w:sz w:val="32"/>
          <w:szCs w:val="32"/>
        </w:rPr>
        <w:t>四、</w:t>
      </w:r>
      <w:r>
        <w:rPr>
          <w:rFonts w:hint="eastAsia" w:ascii="仿宋" w:hAnsi="仿宋" w:eastAsia="仿宋" w:cs="宋体"/>
          <w:sz w:val="32"/>
          <w:szCs w:val="32"/>
        </w:rPr>
        <w:t>一般公共预算财政</w:t>
      </w:r>
      <w:r>
        <w:rPr>
          <w:rFonts w:ascii="仿宋" w:hAnsi="仿宋" w:eastAsia="仿宋" w:cs="宋体"/>
          <w:sz w:val="32"/>
          <w:szCs w:val="32"/>
        </w:rPr>
        <w:t>拨款</w:t>
      </w:r>
      <w:r>
        <w:rPr>
          <w:rFonts w:hint="eastAsia" w:ascii="仿宋" w:hAnsi="仿宋" w:eastAsia="仿宋" w:cs="宋体"/>
          <w:sz w:val="32"/>
          <w:szCs w:val="32"/>
        </w:rPr>
        <w:t>“三公”经费</w:t>
      </w:r>
      <w:r>
        <w:rPr>
          <w:rFonts w:ascii="仿宋" w:hAnsi="仿宋" w:eastAsia="仿宋" w:cs="宋体"/>
          <w:sz w:val="32"/>
          <w:szCs w:val="32"/>
        </w:rPr>
        <w:t>支出情况说明</w:t>
      </w:r>
    </w:p>
    <w:p>
      <w:pPr>
        <w:spacing w:line="388" w:lineRule="exact"/>
        <w:ind w:left="1060"/>
        <w:rPr>
          <w:rFonts w:ascii="仿宋" w:hAnsi="仿宋" w:eastAsia="仿宋" w:cs="宋体"/>
          <w:sz w:val="32"/>
          <w:szCs w:val="32"/>
        </w:rPr>
      </w:pPr>
    </w:p>
    <w:p>
      <w:pPr>
        <w:spacing w:line="388" w:lineRule="exact"/>
        <w:ind w:left="1060"/>
        <w:rPr>
          <w:rFonts w:ascii="仿宋" w:hAnsi="仿宋" w:eastAsia="仿宋"/>
          <w:sz w:val="20"/>
          <w:szCs w:val="20"/>
        </w:rPr>
      </w:pPr>
      <w:r>
        <w:rPr>
          <w:rFonts w:hint="eastAsia" w:ascii="仿宋" w:hAnsi="仿宋" w:eastAsia="仿宋" w:cs="宋体"/>
          <w:sz w:val="32"/>
          <w:szCs w:val="32"/>
        </w:rPr>
        <w:t>五、</w:t>
      </w:r>
      <w:r>
        <w:rPr>
          <w:rFonts w:ascii="仿宋" w:hAnsi="仿宋" w:eastAsia="仿宋" w:cs="宋体"/>
          <w:sz w:val="32"/>
          <w:szCs w:val="32"/>
        </w:rPr>
        <w:t>机关运行经费支出说明</w:t>
      </w:r>
    </w:p>
    <w:p>
      <w:pPr>
        <w:spacing w:line="259" w:lineRule="exact"/>
        <w:rPr>
          <w:rFonts w:ascii="仿宋" w:hAnsi="仿宋" w:eastAsia="仿宋"/>
          <w:sz w:val="20"/>
          <w:szCs w:val="20"/>
        </w:rPr>
      </w:pPr>
    </w:p>
    <w:p>
      <w:pPr>
        <w:spacing w:line="366" w:lineRule="exact"/>
        <w:ind w:left="1060"/>
        <w:rPr>
          <w:rFonts w:ascii="仿宋" w:hAnsi="仿宋" w:eastAsia="仿宋"/>
          <w:sz w:val="20"/>
          <w:szCs w:val="20"/>
        </w:rPr>
      </w:pPr>
      <w:r>
        <w:rPr>
          <w:rFonts w:hint="eastAsia" w:ascii="仿宋" w:hAnsi="仿宋" w:eastAsia="仿宋" w:cs="宋体"/>
          <w:sz w:val="32"/>
          <w:szCs w:val="32"/>
        </w:rPr>
        <w:t>六</w:t>
      </w:r>
      <w:r>
        <w:rPr>
          <w:rFonts w:ascii="仿宋" w:hAnsi="仿宋" w:eastAsia="仿宋" w:cs="宋体"/>
          <w:sz w:val="32"/>
          <w:szCs w:val="32"/>
        </w:rPr>
        <w:t>、政府采购支出说明</w:t>
      </w:r>
    </w:p>
    <w:p>
      <w:pPr>
        <w:spacing w:line="259" w:lineRule="exact"/>
        <w:rPr>
          <w:rFonts w:ascii="仿宋" w:hAnsi="仿宋" w:eastAsia="仿宋"/>
          <w:sz w:val="20"/>
          <w:szCs w:val="20"/>
        </w:rPr>
      </w:pPr>
    </w:p>
    <w:p>
      <w:pPr>
        <w:spacing w:line="366" w:lineRule="exact"/>
        <w:ind w:left="1060"/>
        <w:rPr>
          <w:rFonts w:ascii="仿宋" w:hAnsi="仿宋" w:eastAsia="仿宋"/>
          <w:sz w:val="20"/>
          <w:szCs w:val="20"/>
        </w:rPr>
      </w:pPr>
      <w:r>
        <w:rPr>
          <w:rFonts w:hint="eastAsia" w:ascii="仿宋" w:hAnsi="仿宋" w:eastAsia="仿宋" w:cs="宋体"/>
          <w:sz w:val="32"/>
          <w:szCs w:val="32"/>
        </w:rPr>
        <w:t>七</w:t>
      </w:r>
      <w:r>
        <w:rPr>
          <w:rFonts w:ascii="仿宋" w:hAnsi="仿宋" w:eastAsia="仿宋" w:cs="宋体"/>
          <w:sz w:val="32"/>
          <w:szCs w:val="32"/>
        </w:rPr>
        <w:t>、国有资产占用情况说明</w:t>
      </w:r>
    </w:p>
    <w:p>
      <w:pPr>
        <w:sectPr>
          <w:pgSz w:w="11900" w:h="16838"/>
          <w:pgMar w:top="1440" w:right="1440" w:bottom="639" w:left="1440" w:header="0" w:footer="0" w:gutter="0"/>
          <w:cols w:equalWidth="0" w:num="1">
            <w:col w:w="9026"/>
          </w:cols>
        </w:sectPr>
      </w:pPr>
    </w:p>
    <w:p>
      <w:pPr>
        <w:spacing w:line="259" w:lineRule="exact"/>
        <w:rPr>
          <w:sz w:val="20"/>
          <w:szCs w:val="20"/>
        </w:rPr>
      </w:pPr>
      <w:bookmarkStart w:id="2" w:name="page3"/>
      <w:bookmarkEnd w:id="2"/>
    </w:p>
    <w:p>
      <w:pPr>
        <w:spacing w:line="366" w:lineRule="exact"/>
        <w:ind w:left="1060"/>
        <w:rPr>
          <w:rFonts w:ascii="仿宋" w:hAnsi="仿宋" w:eastAsia="仿宋"/>
          <w:sz w:val="20"/>
          <w:szCs w:val="20"/>
        </w:rPr>
      </w:pPr>
      <w:r>
        <w:rPr>
          <w:rFonts w:hint="eastAsia" w:ascii="仿宋" w:hAnsi="仿宋" w:eastAsia="仿宋" w:cs="宋体"/>
          <w:sz w:val="32"/>
          <w:szCs w:val="32"/>
        </w:rPr>
        <w:t>八</w:t>
      </w:r>
      <w:r>
        <w:rPr>
          <w:rFonts w:ascii="仿宋" w:hAnsi="仿宋" w:eastAsia="仿宋" w:cs="宋体"/>
          <w:sz w:val="32"/>
          <w:szCs w:val="32"/>
        </w:rPr>
        <w:t>、预算绩效情况说明</w:t>
      </w:r>
    </w:p>
    <w:p>
      <w:pPr>
        <w:spacing w:line="200" w:lineRule="exact"/>
        <w:rPr>
          <w:sz w:val="20"/>
          <w:szCs w:val="20"/>
        </w:rPr>
      </w:pPr>
    </w:p>
    <w:p>
      <w:pPr>
        <w:spacing w:line="215" w:lineRule="exact"/>
        <w:rPr>
          <w:sz w:val="20"/>
          <w:szCs w:val="20"/>
        </w:rPr>
      </w:pPr>
    </w:p>
    <w:p>
      <w:pPr>
        <w:tabs>
          <w:tab w:val="left" w:pos="2580"/>
        </w:tabs>
        <w:spacing w:line="366" w:lineRule="exact"/>
        <w:ind w:left="1000"/>
        <w:rPr>
          <w:sz w:val="20"/>
          <w:szCs w:val="20"/>
        </w:rPr>
      </w:pPr>
      <w:r>
        <w:rPr>
          <w:rFonts w:ascii="黑体" w:hAnsi="黑体" w:eastAsia="黑体" w:cs="黑体"/>
          <w:sz w:val="32"/>
          <w:szCs w:val="32"/>
        </w:rPr>
        <w:t>第四部分</w:t>
      </w:r>
      <w:r>
        <w:rPr>
          <w:rFonts w:ascii="黑体" w:hAnsi="黑体" w:eastAsia="黑体" w:cs="黑体"/>
          <w:sz w:val="32"/>
          <w:szCs w:val="32"/>
        </w:rPr>
        <w:tab/>
      </w:r>
      <w:r>
        <w:rPr>
          <w:rFonts w:ascii="黑体" w:hAnsi="黑体" w:eastAsia="黑体" w:cs="黑体"/>
          <w:sz w:val="32"/>
          <w:szCs w:val="32"/>
        </w:rPr>
        <w:t>名词解释</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rPr>
          <w:rFonts w:eastAsia="Times New Roman"/>
          <w:sz w:val="18"/>
          <w:szCs w:val="18"/>
        </w:rPr>
      </w:pPr>
    </w:p>
    <w:p>
      <w:pPr>
        <w:rPr>
          <w:rFonts w:eastAsia="Times New Roman"/>
          <w:sz w:val="18"/>
          <w:szCs w:val="18"/>
        </w:rPr>
      </w:pPr>
    </w:p>
    <w:p>
      <w:pPr>
        <w:rPr>
          <w:rFonts w:eastAsia="Times New Roman"/>
          <w:sz w:val="18"/>
          <w:szCs w:val="18"/>
        </w:rPr>
      </w:pPr>
    </w:p>
    <w:p>
      <w:pPr>
        <w:rPr>
          <w:rFonts w:eastAsia="Times New Roman"/>
          <w:sz w:val="18"/>
          <w:szCs w:val="18"/>
        </w:rPr>
      </w:pPr>
    </w:p>
    <w:p>
      <w:pPr>
        <w:rPr>
          <w:rFonts w:eastAsia="Times New Roman"/>
          <w:sz w:val="18"/>
          <w:szCs w:val="18"/>
        </w:rPr>
      </w:pPr>
    </w:p>
    <w:p>
      <w:pPr>
        <w:rPr>
          <w:rFonts w:eastAsia="Times New Roman"/>
          <w:sz w:val="18"/>
          <w:szCs w:val="18"/>
        </w:rPr>
      </w:pPr>
    </w:p>
    <w:p>
      <w:pPr>
        <w:rPr>
          <w:rFonts w:eastAsia="Times New Roman"/>
          <w:sz w:val="18"/>
          <w:szCs w:val="18"/>
        </w:rPr>
      </w:pPr>
    </w:p>
    <w:p>
      <w:pPr>
        <w:rPr>
          <w:rFonts w:eastAsia="Times New Roman"/>
          <w:sz w:val="18"/>
          <w:szCs w:val="18"/>
        </w:rPr>
      </w:pPr>
    </w:p>
    <w:p>
      <w:pPr>
        <w:sectPr>
          <w:pgSz w:w="11900" w:h="16838"/>
          <w:pgMar w:top="1440" w:right="1440" w:bottom="639" w:left="1440" w:header="0" w:footer="0" w:gutter="0"/>
          <w:cols w:equalWidth="0" w:num="1">
            <w:col w:w="9026"/>
          </w:cols>
        </w:sectPr>
      </w:pPr>
    </w:p>
    <w:p>
      <w:pPr>
        <w:tabs>
          <w:tab w:val="left" w:pos="300"/>
        </w:tabs>
        <w:spacing w:line="366" w:lineRule="exact"/>
        <w:jc w:val="center"/>
        <w:rPr>
          <w:rFonts w:ascii="方正小标宋_GBK" w:eastAsia="方正小标宋_GBK"/>
          <w:sz w:val="20"/>
          <w:szCs w:val="20"/>
        </w:rPr>
      </w:pPr>
      <w:bookmarkStart w:id="3" w:name="page4"/>
      <w:bookmarkEnd w:id="3"/>
      <w:r>
        <w:rPr>
          <w:rFonts w:hint="eastAsia" w:ascii="方正小标宋_GBK" w:hAnsi="黑体" w:eastAsia="方正小标宋_GBK" w:cs="黑体"/>
          <w:sz w:val="32"/>
          <w:szCs w:val="32"/>
        </w:rPr>
        <w:t>第一部分</w:t>
      </w:r>
      <w:r>
        <w:rPr>
          <w:rFonts w:hint="eastAsia" w:ascii="方正小标宋_GBK" w:hAnsi="黑体" w:eastAsia="方正小标宋_GBK" w:cs="黑体"/>
          <w:sz w:val="32"/>
          <w:szCs w:val="32"/>
        </w:rPr>
        <w:tab/>
      </w:r>
      <w:r>
        <w:rPr>
          <w:rFonts w:hint="eastAsia" w:ascii="方正小标宋_GBK" w:hAnsi="黑体" w:eastAsia="方正小标宋_GBK" w:cs="黑体"/>
          <w:sz w:val="32"/>
          <w:szCs w:val="32"/>
        </w:rPr>
        <w:t>国家统计局山西调查总队概况</w:t>
      </w:r>
    </w:p>
    <w:p>
      <w:pPr>
        <w:spacing w:line="200" w:lineRule="exact"/>
        <w:jc w:val="center"/>
        <w:rPr>
          <w:sz w:val="20"/>
          <w:szCs w:val="20"/>
        </w:rPr>
      </w:pPr>
    </w:p>
    <w:p>
      <w:pPr>
        <w:spacing w:line="271" w:lineRule="exact"/>
        <w:jc w:val="center"/>
        <w:rPr>
          <w:sz w:val="20"/>
          <w:szCs w:val="20"/>
        </w:rPr>
      </w:pPr>
    </w:p>
    <w:p>
      <w:pPr>
        <w:spacing w:line="366" w:lineRule="exact"/>
        <w:ind w:left="1060"/>
        <w:rPr>
          <w:sz w:val="20"/>
          <w:szCs w:val="20"/>
        </w:rPr>
      </w:pPr>
      <w:r>
        <w:rPr>
          <w:rFonts w:ascii="黑体" w:hAnsi="黑体" w:eastAsia="黑体" w:cs="黑体"/>
          <w:sz w:val="32"/>
          <w:szCs w:val="32"/>
        </w:rPr>
        <w:t>一、部门职责</w:t>
      </w:r>
    </w:p>
    <w:p>
      <w:pPr>
        <w:spacing w:line="283" w:lineRule="exact"/>
        <w:rPr>
          <w:sz w:val="20"/>
          <w:szCs w:val="20"/>
        </w:rPr>
      </w:pP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国家统计局山西调查总队既是政府统计调查机构，也是统计执法机构，依法独立行使统计调查、统计监督的职权，独立向国家统计局上报调查结果，并对上报的调查资料的真实性负责。</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（一）组织实施住户调查、劳动力调查、价格调查、农业与农村调查，组织实施有关社情民意调查、企业和个体经营户调查等。</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（二）组织实施国家统计快速反应制度，组织开展经济社会重大问题和经济发展新动能专项调查，及时报告本地区的突发性经济事件和重大社会经济问题等方面信息。</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（三）参与组织实施国家有关普查项目。</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（四）根据国家统计局的授权，管理和公布有关统计调查数据。</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（五）依法查处其组织实施的统计调查活动中发生的统计违法行为。</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（六）组织开展统计信息化的有关工作。</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（七）负责调查总队机关人事、财务工作，管理下属各级调查队人事、财务工作。</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（八）加强党对调查队工作的全面领导，承担总队和下属调查队系统党的建设、全面从严治党主体责任，组织落实总队和下属调查队系统党的建设、</w:t>
      </w:r>
      <w:r>
        <w:rPr>
          <w:rFonts w:hint="eastAsia" w:ascii="仿宋" w:hAnsi="仿宋" w:eastAsia="仿宋" w:cs="宋体"/>
          <w:sz w:val="32"/>
          <w:szCs w:val="32"/>
          <w:lang w:val="en-US" w:eastAsia="zh-CN"/>
        </w:rPr>
        <w:t>纪律检查</w:t>
      </w:r>
      <w:r>
        <w:rPr>
          <w:rFonts w:hint="eastAsia" w:ascii="仿宋" w:hAnsi="仿宋" w:eastAsia="仿宋" w:cs="宋体"/>
          <w:sz w:val="32"/>
          <w:szCs w:val="32"/>
        </w:rPr>
        <w:t>、巡察工作。</w:t>
      </w:r>
      <w:bookmarkStart w:id="27" w:name="_GoBack"/>
      <w:bookmarkEnd w:id="27"/>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（九）受国家统计局委托管理下属各级调查队；组织领导地方调查队的业务工作。</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（十）接受地方党委政府的委托，开展统计调查和提供信息服务。</w:t>
      </w:r>
    </w:p>
    <w:p>
      <w:pPr>
        <w:spacing w:line="543" w:lineRule="exact"/>
        <w:ind w:left="360" w:right="346" w:firstLine="624"/>
        <w:jc w:val="both"/>
        <w:rPr>
          <w:rFonts w:ascii="仿宋" w:hAnsi="仿宋" w:eastAsia="仿宋" w:cs="宋体"/>
          <w:sz w:val="32"/>
          <w:szCs w:val="32"/>
        </w:rPr>
      </w:pPr>
      <w:r>
        <w:rPr>
          <w:rFonts w:hint="eastAsia" w:ascii="仿宋" w:hAnsi="仿宋" w:eastAsia="仿宋" w:cs="宋体"/>
          <w:sz w:val="32"/>
          <w:szCs w:val="32"/>
        </w:rPr>
        <w:t>（十一）完成国家统计局交办的其他事项</w:t>
      </w:r>
      <w:bookmarkStart w:id="4" w:name="page5"/>
      <w:bookmarkEnd w:id="4"/>
      <w:r>
        <w:rPr>
          <w:rFonts w:hint="eastAsia" w:ascii="仿宋" w:hAnsi="仿宋" w:eastAsia="仿宋" w:cs="宋体"/>
          <w:sz w:val="32"/>
          <w:szCs w:val="32"/>
        </w:rPr>
        <w:t>。</w:t>
      </w:r>
    </w:p>
    <w:p>
      <w:pPr>
        <w:spacing w:line="366" w:lineRule="exact"/>
        <w:ind w:left="1060"/>
        <w:rPr>
          <w:sz w:val="20"/>
          <w:szCs w:val="20"/>
        </w:rPr>
      </w:pPr>
      <w:r>
        <w:rPr>
          <w:rFonts w:ascii="黑体" w:hAnsi="黑体" w:eastAsia="黑体" w:cs="黑体"/>
          <w:sz w:val="32"/>
          <w:szCs w:val="32"/>
        </w:rPr>
        <w:t>二、部门决算单位构成</w:t>
      </w:r>
    </w:p>
    <w:p>
      <w:pPr>
        <w:spacing w:line="543" w:lineRule="exact"/>
        <w:ind w:left="360" w:right="346" w:firstLine="624"/>
        <w:jc w:val="both"/>
        <w:rPr>
          <w:rFonts w:ascii="宋体" w:hAnsi="宋体" w:eastAsia="宋体" w:cs="宋体"/>
          <w:sz w:val="32"/>
          <w:szCs w:val="32"/>
        </w:rPr>
      </w:pPr>
      <w:r>
        <w:rPr>
          <w:rFonts w:hint="eastAsia" w:ascii="宋体" w:hAnsi="宋体" w:eastAsia="宋体" w:cs="宋体"/>
          <w:sz w:val="32"/>
          <w:szCs w:val="32"/>
        </w:rPr>
        <w:t>国家统计局山西调查总队决算包括：总队本级决算，11 个市级调查队决算，36 个县级调查队决算，共 48 家预算单位，详见下表。</w:t>
      </w:r>
    </w:p>
    <w:tbl>
      <w:tblPr>
        <w:tblStyle w:val="4"/>
        <w:tblW w:w="0" w:type="auto"/>
        <w:tblInd w:w="719" w:type="dxa"/>
        <w:tblLayout w:type="fixed"/>
        <w:tblCellMar>
          <w:top w:w="0" w:type="dxa"/>
          <w:left w:w="0" w:type="dxa"/>
          <w:bottom w:w="0" w:type="dxa"/>
          <w:right w:w="0" w:type="dxa"/>
        </w:tblCellMar>
      </w:tblPr>
      <w:tblGrid>
        <w:gridCol w:w="567"/>
        <w:gridCol w:w="7371"/>
      </w:tblGrid>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国家统计局山西调查总队本级</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国家统计局太原调查队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国家统计局大同调查队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国家统计局阳泉调查队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5</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国家统计局长治调查队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6</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国家统计局晋城调查队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7</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国家统计局朔州调查队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8</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国家统计局晋中调查队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9</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国家统计局临汾调查队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10</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国家统计局运城调查队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11</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国家统计局忻州调查队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12</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国家统计局吕梁调查队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13</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国家统计局小店调查队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14</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国家统计局古交调查队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15</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国家统计局新荣调查队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16</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国家统计局阳高调查队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17</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国家统计局浑源调查队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18</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国家统计局平定调查队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19</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国家统计局平顺调查队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20</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国家统计局武乡调查队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21</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国家统计局沁水调查队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22</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国家统计局泽州调查队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23</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国家统计局应县调查队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24</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国家统计局右玉调查队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25</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国家统计局原平调查队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26</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国家统计局五台调查队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27</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国家统计局宁武调查队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28</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国家统计局静乐调查队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29</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国家统计局偏关调查队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30</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国家统计局孝义调查队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31</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国家统计局文水调查队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32</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国家统计局柳林调查队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bottom w:val="single" w:color="auto" w:sz="4"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33</w:t>
            </w:r>
          </w:p>
        </w:tc>
        <w:tc>
          <w:tcPr>
            <w:tcW w:w="7371" w:type="dxa"/>
            <w:tcBorders>
              <w:top w:val="single" w:color="808080" w:sz="8" w:space="0"/>
              <w:bottom w:val="single" w:color="auto" w:sz="4"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国家统计局岚县调查队</w:t>
            </w:r>
          </w:p>
        </w:tc>
      </w:tr>
      <w:tr>
        <w:tblPrEx>
          <w:tblCellMar>
            <w:top w:w="0" w:type="dxa"/>
            <w:left w:w="0" w:type="dxa"/>
            <w:bottom w:w="0" w:type="dxa"/>
            <w:right w:w="0" w:type="dxa"/>
          </w:tblCellMar>
        </w:tblPrEx>
        <w:trPr>
          <w:trHeight w:val="275" w:hRule="atLeast"/>
        </w:trPr>
        <w:tc>
          <w:tcPr>
            <w:tcW w:w="567" w:type="dxa"/>
            <w:tcBorders>
              <w:top w:val="single" w:color="auto" w:sz="4" w:space="0"/>
              <w:left w:val="single" w:color="auto" w:sz="4" w:space="0"/>
              <w:bottom w:val="single" w:color="auto" w:sz="4" w:space="0"/>
              <w:right w:val="single" w:color="auto" w:sz="4"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34</w:t>
            </w:r>
          </w:p>
        </w:tc>
        <w:tc>
          <w:tcPr>
            <w:tcW w:w="7371" w:type="dxa"/>
            <w:tcBorders>
              <w:top w:val="single" w:color="auto" w:sz="4" w:space="0"/>
              <w:left w:val="single" w:color="auto" w:sz="4" w:space="0"/>
              <w:bottom w:val="single" w:color="auto" w:sz="4" w:space="0"/>
              <w:right w:val="single" w:color="auto" w:sz="4"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国家统计局汾阳调查队</w:t>
            </w:r>
          </w:p>
        </w:tc>
      </w:tr>
      <w:tr>
        <w:tblPrEx>
          <w:tblCellMar>
            <w:top w:w="0" w:type="dxa"/>
            <w:left w:w="0" w:type="dxa"/>
            <w:bottom w:w="0" w:type="dxa"/>
            <w:right w:w="0" w:type="dxa"/>
          </w:tblCellMar>
        </w:tblPrEx>
        <w:trPr>
          <w:trHeight w:val="275" w:hRule="atLeast"/>
        </w:trPr>
        <w:tc>
          <w:tcPr>
            <w:tcW w:w="567" w:type="dxa"/>
            <w:tcBorders>
              <w:top w:val="single" w:color="auto" w:sz="4"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35</w:t>
            </w:r>
          </w:p>
        </w:tc>
        <w:tc>
          <w:tcPr>
            <w:tcW w:w="7371" w:type="dxa"/>
            <w:tcBorders>
              <w:top w:val="single" w:color="auto" w:sz="4"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国家统计局兴县调查队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36</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国家统计局介休调查队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37</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国家统计局左权调查队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38</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国家统计局洪洞调查队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39</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国家统计局安泽调查队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40</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国家统计局乡宁调查队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ascii="宋体" w:hAnsi="宋体" w:eastAsia="宋体" w:cs="宋体"/>
                <w:sz w:val="18"/>
                <w:szCs w:val="18"/>
              </w:rPr>
              <w:t>41</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国家统计局临猗调查队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2</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国家统计局稷山调查队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3</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国家统计局平陆调查队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4</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国家统计局垣曲调查队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5</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国家统计局云冈调查队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6</w:t>
            </w:r>
          </w:p>
        </w:tc>
        <w:tc>
          <w:tcPr>
            <w:tcW w:w="7371" w:type="dxa"/>
            <w:tcBorders>
              <w:top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国家统计局襄垣调查队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bottom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7</w:t>
            </w:r>
          </w:p>
        </w:tc>
        <w:tc>
          <w:tcPr>
            <w:tcW w:w="7371" w:type="dxa"/>
            <w:tcBorders>
              <w:top w:val="single" w:color="808080" w:sz="8" w:space="0"/>
              <w:bottom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国家统计局太谷调查队</w:t>
            </w:r>
          </w:p>
        </w:tc>
      </w:tr>
      <w:tr>
        <w:tblPrEx>
          <w:tblCellMar>
            <w:top w:w="0" w:type="dxa"/>
            <w:left w:w="0" w:type="dxa"/>
            <w:bottom w:w="0" w:type="dxa"/>
            <w:right w:w="0" w:type="dxa"/>
          </w:tblCellMar>
        </w:tblPrEx>
        <w:trPr>
          <w:trHeight w:val="275" w:hRule="atLeast"/>
        </w:trPr>
        <w:tc>
          <w:tcPr>
            <w:tcW w:w="567" w:type="dxa"/>
            <w:tcBorders>
              <w:top w:val="single" w:color="808080" w:sz="8" w:space="0"/>
              <w:left w:val="single" w:color="808080" w:sz="8" w:space="0"/>
              <w:bottom w:val="single" w:color="808080" w:sz="8" w:space="0"/>
              <w:right w:val="single" w:color="808080" w:sz="8" w:space="0"/>
            </w:tcBorders>
            <w:vAlign w:val="bottom"/>
          </w:tcPr>
          <w:p>
            <w:pPr>
              <w:spacing w:line="206"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8</w:t>
            </w:r>
          </w:p>
        </w:tc>
        <w:tc>
          <w:tcPr>
            <w:tcW w:w="7371" w:type="dxa"/>
            <w:tcBorders>
              <w:top w:val="single" w:color="808080" w:sz="8" w:space="0"/>
              <w:bottom w:val="single" w:color="808080" w:sz="8" w:space="0"/>
              <w:right w:val="single" w:color="808080" w:sz="8" w:space="0"/>
            </w:tcBorders>
            <w:vAlign w:val="bottom"/>
          </w:tcPr>
          <w:p>
            <w:pPr>
              <w:spacing w:line="206" w:lineRule="exact"/>
              <w:ind w:left="280"/>
              <w:rPr>
                <w:rFonts w:ascii="宋体" w:hAnsi="宋体" w:eastAsia="宋体" w:cs="宋体"/>
                <w:sz w:val="18"/>
                <w:szCs w:val="18"/>
              </w:rPr>
            </w:pPr>
            <w:r>
              <w:rPr>
                <w:rFonts w:hint="eastAsia" w:ascii="宋体" w:hAnsi="宋体" w:eastAsia="宋体" w:cs="宋体"/>
                <w:sz w:val="18"/>
                <w:szCs w:val="18"/>
              </w:rPr>
              <w:t>国家统计局永济调查队</w:t>
            </w:r>
          </w:p>
        </w:tc>
      </w:tr>
    </w:tbl>
    <w:p>
      <w:pPr>
        <w:spacing w:line="20" w:lineRule="exact"/>
        <w:rPr>
          <w:sz w:val="20"/>
          <w:szCs w:val="20"/>
        </w:rPr>
        <w:sectPr>
          <w:pgSz w:w="11900" w:h="16838"/>
          <w:pgMar w:top="1440" w:right="1440" w:bottom="639" w:left="1440" w:header="0" w:footer="0" w:gutter="0"/>
          <w:cols w:equalWidth="0" w:num="1">
            <w:col w:w="9026"/>
          </w:cols>
        </w:sectPr>
      </w:pPr>
      <w:bookmarkStart w:id="5" w:name="page7"/>
      <w:bookmarkEnd w:id="5"/>
      <w:bookmarkStart w:id="6" w:name="page6"/>
      <w:bookmarkEnd w:id="6"/>
      <w:r>
        <w:tab/>
      </w:r>
    </w:p>
    <w:p>
      <w:pPr>
        <w:spacing w:line="118" w:lineRule="exact"/>
        <w:rPr>
          <w:sz w:val="20"/>
          <w:szCs w:val="20"/>
        </w:rPr>
      </w:pPr>
      <w:bookmarkStart w:id="7" w:name="page9"/>
      <w:bookmarkEnd w:id="7"/>
    </w:p>
    <w:p>
      <w:pPr>
        <w:tabs>
          <w:tab w:val="left" w:pos="300"/>
        </w:tabs>
        <w:spacing w:line="366" w:lineRule="exact"/>
        <w:jc w:val="center"/>
        <w:rPr>
          <w:rFonts w:ascii="方正小标宋_GBK" w:hAnsi="黑体" w:eastAsia="方正小标宋_GBK" w:cs="黑体"/>
          <w:sz w:val="32"/>
          <w:szCs w:val="32"/>
        </w:rPr>
      </w:pPr>
      <w:r>
        <w:rPr>
          <w:rFonts w:hint="eastAsia" w:ascii="方正小标宋_GBK" w:hAnsi="黑体" w:eastAsia="方正小标宋_GBK" w:cs="黑体"/>
          <w:sz w:val="32"/>
          <w:szCs w:val="32"/>
        </w:rPr>
        <w:t>第二部分 国家统计局山西调查总队</w:t>
      </w:r>
      <w:r>
        <w:rPr>
          <w:rFonts w:hint="eastAsia" w:ascii="方正小标宋_GBK" w:hAnsi="黑体" w:eastAsia="方正小标宋_GBK" w:cs="黑体"/>
          <w:sz w:val="32"/>
          <w:szCs w:val="32"/>
          <w:lang w:val="en"/>
        </w:rPr>
        <w:t>2022</w:t>
      </w:r>
      <w:r>
        <w:rPr>
          <w:rFonts w:hint="eastAsia" w:ascii="方正小标宋_GBK" w:hAnsi="黑体" w:eastAsia="方正小标宋_GBK" w:cs="黑体"/>
          <w:sz w:val="32"/>
          <w:szCs w:val="32"/>
        </w:rPr>
        <w:t>年度部门决算表</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53" w:lineRule="exact"/>
        <w:rPr>
          <w:sz w:val="20"/>
          <w:szCs w:val="20"/>
        </w:rPr>
      </w:pPr>
    </w:p>
    <w:p>
      <w:pPr>
        <w:spacing w:line="320" w:lineRule="exact"/>
        <w:ind w:right="-561"/>
        <w:jc w:val="center"/>
        <w:rPr>
          <w:rFonts w:ascii="黑体" w:hAnsi="黑体" w:eastAsia="黑体"/>
          <w:sz w:val="20"/>
          <w:szCs w:val="20"/>
        </w:rPr>
      </w:pPr>
      <w:r>
        <w:rPr>
          <w:rFonts w:ascii="黑体" w:hAnsi="黑体" w:eastAsia="黑体" w:cs="宋体"/>
          <w:b/>
          <w:bCs/>
          <w:sz w:val="28"/>
          <w:szCs w:val="28"/>
        </w:rPr>
        <w:t>收入支出决算总表</w:t>
      </w:r>
    </w:p>
    <w:p>
      <w:pPr>
        <w:spacing w:line="79" w:lineRule="exact"/>
        <w:rPr>
          <w:rFonts w:ascii="仿宋" w:hAnsi="仿宋" w:eastAsia="仿宋"/>
          <w:sz w:val="20"/>
          <w:szCs w:val="20"/>
        </w:rPr>
      </w:pPr>
    </w:p>
    <w:tbl>
      <w:tblPr>
        <w:tblStyle w:val="4"/>
        <w:tblW w:w="0" w:type="auto"/>
        <w:tblInd w:w="570" w:type="dxa"/>
        <w:tblLayout w:type="fixed"/>
        <w:tblCellMar>
          <w:top w:w="0" w:type="dxa"/>
          <w:left w:w="0" w:type="dxa"/>
          <w:bottom w:w="0" w:type="dxa"/>
          <w:right w:w="0" w:type="dxa"/>
        </w:tblCellMar>
      </w:tblPr>
      <w:tblGrid>
        <w:gridCol w:w="3580"/>
        <w:gridCol w:w="700"/>
        <w:gridCol w:w="2240"/>
        <w:gridCol w:w="2700"/>
        <w:gridCol w:w="580"/>
        <w:gridCol w:w="700"/>
        <w:gridCol w:w="2300"/>
      </w:tblGrid>
      <w:tr>
        <w:tblPrEx>
          <w:tblCellMar>
            <w:top w:w="0" w:type="dxa"/>
            <w:left w:w="0" w:type="dxa"/>
            <w:bottom w:w="0" w:type="dxa"/>
            <w:right w:w="0" w:type="dxa"/>
          </w:tblCellMar>
        </w:tblPrEx>
        <w:trPr>
          <w:trHeight w:val="251" w:hRule="atLeast"/>
        </w:trPr>
        <w:tc>
          <w:tcPr>
            <w:tcW w:w="3580" w:type="dxa"/>
            <w:vAlign w:val="bottom"/>
          </w:tcPr>
          <w:p>
            <w:pPr>
              <w:rPr>
                <w:rFonts w:ascii="仿宋" w:hAnsi="仿宋" w:eastAsia="仿宋"/>
                <w:sz w:val="21"/>
                <w:szCs w:val="21"/>
              </w:rPr>
            </w:pPr>
          </w:p>
        </w:tc>
        <w:tc>
          <w:tcPr>
            <w:tcW w:w="700" w:type="dxa"/>
            <w:vAlign w:val="bottom"/>
          </w:tcPr>
          <w:p>
            <w:pPr>
              <w:rPr>
                <w:rFonts w:ascii="仿宋" w:hAnsi="仿宋" w:eastAsia="仿宋"/>
                <w:sz w:val="21"/>
                <w:szCs w:val="21"/>
              </w:rPr>
            </w:pPr>
          </w:p>
        </w:tc>
        <w:tc>
          <w:tcPr>
            <w:tcW w:w="2240" w:type="dxa"/>
            <w:vAlign w:val="bottom"/>
          </w:tcPr>
          <w:p>
            <w:pPr>
              <w:rPr>
                <w:rFonts w:ascii="仿宋" w:hAnsi="仿宋" w:eastAsia="仿宋"/>
                <w:sz w:val="21"/>
                <w:szCs w:val="21"/>
              </w:rPr>
            </w:pPr>
          </w:p>
        </w:tc>
        <w:tc>
          <w:tcPr>
            <w:tcW w:w="2700" w:type="dxa"/>
            <w:vAlign w:val="bottom"/>
          </w:tcPr>
          <w:p>
            <w:pPr>
              <w:rPr>
                <w:rFonts w:ascii="仿宋" w:hAnsi="仿宋" w:eastAsia="仿宋"/>
                <w:sz w:val="21"/>
                <w:szCs w:val="21"/>
              </w:rPr>
            </w:pPr>
          </w:p>
        </w:tc>
        <w:tc>
          <w:tcPr>
            <w:tcW w:w="580" w:type="dxa"/>
            <w:vAlign w:val="bottom"/>
          </w:tcPr>
          <w:p>
            <w:pPr>
              <w:rPr>
                <w:rFonts w:ascii="仿宋" w:hAnsi="仿宋" w:eastAsia="仿宋"/>
                <w:sz w:val="21"/>
                <w:szCs w:val="21"/>
              </w:rPr>
            </w:pPr>
          </w:p>
        </w:tc>
        <w:tc>
          <w:tcPr>
            <w:tcW w:w="700" w:type="dxa"/>
            <w:vAlign w:val="bottom"/>
          </w:tcPr>
          <w:p>
            <w:pPr>
              <w:rPr>
                <w:rFonts w:ascii="仿宋" w:hAnsi="仿宋" w:eastAsia="仿宋"/>
                <w:sz w:val="21"/>
                <w:szCs w:val="21"/>
              </w:rPr>
            </w:pPr>
          </w:p>
        </w:tc>
        <w:tc>
          <w:tcPr>
            <w:tcW w:w="2300" w:type="dxa"/>
            <w:vAlign w:val="bottom"/>
          </w:tcPr>
          <w:p>
            <w:pPr>
              <w:spacing w:line="251" w:lineRule="exact"/>
              <w:ind w:right="10"/>
              <w:jc w:val="right"/>
              <w:rPr>
                <w:rFonts w:ascii="仿宋" w:hAnsi="仿宋" w:eastAsia="仿宋"/>
                <w:sz w:val="20"/>
                <w:szCs w:val="20"/>
              </w:rPr>
            </w:pPr>
            <w:r>
              <w:rPr>
                <w:rFonts w:ascii="仿宋" w:hAnsi="仿宋" w:eastAsia="仿宋" w:cs="宋体"/>
              </w:rPr>
              <w:t>公开01表</w:t>
            </w:r>
          </w:p>
        </w:tc>
      </w:tr>
      <w:tr>
        <w:tblPrEx>
          <w:tblCellMar>
            <w:top w:w="0" w:type="dxa"/>
            <w:left w:w="0" w:type="dxa"/>
            <w:bottom w:w="0" w:type="dxa"/>
            <w:right w:w="0" w:type="dxa"/>
          </w:tblCellMar>
        </w:tblPrEx>
        <w:trPr>
          <w:trHeight w:val="286" w:hRule="atLeast"/>
        </w:trPr>
        <w:tc>
          <w:tcPr>
            <w:tcW w:w="3580" w:type="dxa"/>
            <w:vAlign w:val="bottom"/>
          </w:tcPr>
          <w:p>
            <w:pPr>
              <w:spacing w:line="251" w:lineRule="exact"/>
              <w:ind w:left="120"/>
              <w:rPr>
                <w:rFonts w:ascii="仿宋" w:hAnsi="仿宋" w:eastAsia="仿宋"/>
                <w:sz w:val="20"/>
                <w:szCs w:val="20"/>
              </w:rPr>
            </w:pPr>
            <w:r>
              <w:rPr>
                <w:rFonts w:ascii="仿宋" w:hAnsi="仿宋" w:eastAsia="仿宋" w:cs="宋体"/>
              </w:rPr>
              <w:t>部门：国家统计局</w:t>
            </w:r>
            <w:r>
              <w:rPr>
                <w:rFonts w:hint="eastAsia" w:ascii="仿宋" w:hAnsi="仿宋" w:eastAsia="仿宋" w:cs="宋体"/>
              </w:rPr>
              <w:t>山西调查总队</w:t>
            </w:r>
          </w:p>
        </w:tc>
        <w:tc>
          <w:tcPr>
            <w:tcW w:w="700" w:type="dxa"/>
            <w:vAlign w:val="bottom"/>
          </w:tcPr>
          <w:p>
            <w:pPr>
              <w:rPr>
                <w:rFonts w:ascii="仿宋" w:hAnsi="仿宋" w:eastAsia="仿宋"/>
                <w:sz w:val="24"/>
                <w:szCs w:val="24"/>
              </w:rPr>
            </w:pPr>
          </w:p>
        </w:tc>
        <w:tc>
          <w:tcPr>
            <w:tcW w:w="2240" w:type="dxa"/>
            <w:vAlign w:val="bottom"/>
          </w:tcPr>
          <w:p>
            <w:pPr>
              <w:rPr>
                <w:rFonts w:ascii="仿宋" w:hAnsi="仿宋" w:eastAsia="仿宋"/>
                <w:sz w:val="24"/>
                <w:szCs w:val="24"/>
              </w:rPr>
            </w:pPr>
          </w:p>
        </w:tc>
        <w:tc>
          <w:tcPr>
            <w:tcW w:w="2700" w:type="dxa"/>
            <w:vAlign w:val="bottom"/>
          </w:tcPr>
          <w:p>
            <w:pPr>
              <w:rPr>
                <w:rFonts w:ascii="仿宋" w:hAnsi="仿宋" w:eastAsia="仿宋"/>
                <w:sz w:val="24"/>
                <w:szCs w:val="24"/>
              </w:rPr>
            </w:pPr>
          </w:p>
        </w:tc>
        <w:tc>
          <w:tcPr>
            <w:tcW w:w="580" w:type="dxa"/>
            <w:vAlign w:val="bottom"/>
          </w:tcPr>
          <w:p>
            <w:pPr>
              <w:rPr>
                <w:rFonts w:ascii="仿宋" w:hAnsi="仿宋" w:eastAsia="仿宋"/>
                <w:sz w:val="24"/>
                <w:szCs w:val="24"/>
              </w:rPr>
            </w:pPr>
          </w:p>
        </w:tc>
        <w:tc>
          <w:tcPr>
            <w:tcW w:w="700" w:type="dxa"/>
            <w:vAlign w:val="bottom"/>
          </w:tcPr>
          <w:p>
            <w:pPr>
              <w:rPr>
                <w:rFonts w:ascii="仿宋" w:hAnsi="仿宋" w:eastAsia="仿宋"/>
                <w:sz w:val="24"/>
                <w:szCs w:val="24"/>
              </w:rPr>
            </w:pPr>
          </w:p>
        </w:tc>
        <w:tc>
          <w:tcPr>
            <w:tcW w:w="2300" w:type="dxa"/>
            <w:vAlign w:val="bottom"/>
          </w:tcPr>
          <w:p>
            <w:pPr>
              <w:spacing w:line="251" w:lineRule="exact"/>
              <w:ind w:right="10"/>
              <w:jc w:val="right"/>
              <w:rPr>
                <w:rFonts w:ascii="仿宋" w:hAnsi="仿宋" w:eastAsia="仿宋"/>
                <w:sz w:val="20"/>
                <w:szCs w:val="20"/>
              </w:rPr>
            </w:pPr>
            <w:r>
              <w:rPr>
                <w:rFonts w:ascii="仿宋" w:hAnsi="仿宋" w:eastAsia="仿宋" w:cs="宋体"/>
              </w:rPr>
              <w:t>金额单位：万元</w:t>
            </w:r>
          </w:p>
        </w:tc>
      </w:tr>
      <w:tr>
        <w:tblPrEx>
          <w:tblCellMar>
            <w:top w:w="0" w:type="dxa"/>
            <w:left w:w="0" w:type="dxa"/>
            <w:bottom w:w="0" w:type="dxa"/>
            <w:right w:w="0" w:type="dxa"/>
          </w:tblCellMar>
        </w:tblPrEx>
        <w:trPr>
          <w:trHeight w:val="37" w:hRule="atLeast"/>
        </w:trPr>
        <w:tc>
          <w:tcPr>
            <w:tcW w:w="3580" w:type="dxa"/>
            <w:tcBorders>
              <w:bottom w:val="single" w:color="auto" w:sz="8" w:space="0"/>
            </w:tcBorders>
            <w:vAlign w:val="bottom"/>
          </w:tcPr>
          <w:p>
            <w:pPr>
              <w:rPr>
                <w:rFonts w:ascii="仿宋" w:hAnsi="仿宋" w:eastAsia="仿宋"/>
                <w:sz w:val="3"/>
                <w:szCs w:val="3"/>
              </w:rPr>
            </w:pPr>
          </w:p>
        </w:tc>
        <w:tc>
          <w:tcPr>
            <w:tcW w:w="700" w:type="dxa"/>
            <w:tcBorders>
              <w:bottom w:val="single" w:color="auto" w:sz="8" w:space="0"/>
            </w:tcBorders>
            <w:vAlign w:val="bottom"/>
          </w:tcPr>
          <w:p>
            <w:pPr>
              <w:rPr>
                <w:rFonts w:ascii="仿宋" w:hAnsi="仿宋" w:eastAsia="仿宋"/>
                <w:sz w:val="3"/>
                <w:szCs w:val="3"/>
              </w:rPr>
            </w:pPr>
          </w:p>
        </w:tc>
        <w:tc>
          <w:tcPr>
            <w:tcW w:w="2240" w:type="dxa"/>
            <w:tcBorders>
              <w:bottom w:val="single" w:color="auto" w:sz="8" w:space="0"/>
            </w:tcBorders>
            <w:vAlign w:val="bottom"/>
          </w:tcPr>
          <w:p>
            <w:pPr>
              <w:rPr>
                <w:rFonts w:ascii="仿宋" w:hAnsi="仿宋" w:eastAsia="仿宋"/>
                <w:sz w:val="3"/>
                <w:szCs w:val="3"/>
              </w:rPr>
            </w:pPr>
          </w:p>
        </w:tc>
        <w:tc>
          <w:tcPr>
            <w:tcW w:w="2700" w:type="dxa"/>
            <w:tcBorders>
              <w:bottom w:val="single" w:color="auto" w:sz="8" w:space="0"/>
            </w:tcBorders>
            <w:vAlign w:val="bottom"/>
          </w:tcPr>
          <w:p>
            <w:pPr>
              <w:rPr>
                <w:rFonts w:ascii="仿宋" w:hAnsi="仿宋" w:eastAsia="仿宋"/>
                <w:sz w:val="3"/>
                <w:szCs w:val="3"/>
              </w:rPr>
            </w:pPr>
          </w:p>
        </w:tc>
        <w:tc>
          <w:tcPr>
            <w:tcW w:w="580" w:type="dxa"/>
            <w:tcBorders>
              <w:bottom w:val="single" w:color="auto" w:sz="8" w:space="0"/>
            </w:tcBorders>
            <w:vAlign w:val="bottom"/>
          </w:tcPr>
          <w:p>
            <w:pPr>
              <w:rPr>
                <w:rFonts w:ascii="仿宋" w:hAnsi="仿宋" w:eastAsia="仿宋"/>
                <w:sz w:val="3"/>
                <w:szCs w:val="3"/>
              </w:rPr>
            </w:pPr>
          </w:p>
        </w:tc>
        <w:tc>
          <w:tcPr>
            <w:tcW w:w="700" w:type="dxa"/>
            <w:tcBorders>
              <w:bottom w:val="single" w:color="auto" w:sz="8" w:space="0"/>
            </w:tcBorders>
            <w:vAlign w:val="bottom"/>
          </w:tcPr>
          <w:p>
            <w:pPr>
              <w:rPr>
                <w:rFonts w:ascii="仿宋" w:hAnsi="仿宋" w:eastAsia="仿宋"/>
                <w:sz w:val="3"/>
                <w:szCs w:val="3"/>
              </w:rPr>
            </w:pPr>
          </w:p>
        </w:tc>
        <w:tc>
          <w:tcPr>
            <w:tcW w:w="2300" w:type="dxa"/>
            <w:tcBorders>
              <w:bottom w:val="single" w:color="auto" w:sz="8" w:space="0"/>
            </w:tcBorders>
            <w:vAlign w:val="bottom"/>
          </w:tcPr>
          <w:p>
            <w:pPr>
              <w:rPr>
                <w:rFonts w:ascii="仿宋" w:hAnsi="仿宋" w:eastAsia="仿宋"/>
                <w:sz w:val="3"/>
                <w:szCs w:val="3"/>
              </w:rPr>
            </w:pPr>
          </w:p>
        </w:tc>
      </w:tr>
      <w:tr>
        <w:tblPrEx>
          <w:tblCellMar>
            <w:top w:w="0" w:type="dxa"/>
            <w:left w:w="0" w:type="dxa"/>
            <w:bottom w:w="0" w:type="dxa"/>
            <w:right w:w="0" w:type="dxa"/>
          </w:tblCellMar>
        </w:tblPrEx>
        <w:trPr>
          <w:trHeight w:val="260" w:hRule="atLeast"/>
        </w:trPr>
        <w:tc>
          <w:tcPr>
            <w:tcW w:w="3580" w:type="dxa"/>
            <w:tcBorders>
              <w:left w:val="single" w:color="auto" w:sz="8" w:space="0"/>
            </w:tcBorders>
            <w:vAlign w:val="bottom"/>
          </w:tcPr>
          <w:p>
            <w:pPr>
              <w:spacing w:line="251" w:lineRule="exact"/>
              <w:ind w:left="3040"/>
              <w:rPr>
                <w:rFonts w:ascii="仿宋" w:hAnsi="仿宋" w:eastAsia="仿宋"/>
                <w:sz w:val="20"/>
                <w:szCs w:val="20"/>
              </w:rPr>
            </w:pPr>
            <w:r>
              <w:rPr>
                <w:rFonts w:ascii="仿宋" w:hAnsi="仿宋" w:eastAsia="仿宋" w:cs="宋体"/>
              </w:rPr>
              <w:t>收入</w:t>
            </w:r>
          </w:p>
        </w:tc>
        <w:tc>
          <w:tcPr>
            <w:tcW w:w="700" w:type="dxa"/>
            <w:vAlign w:val="bottom"/>
          </w:tcPr>
          <w:p>
            <w:pPr>
              <w:rPr>
                <w:rFonts w:ascii="仿宋" w:hAnsi="仿宋" w:eastAsia="仿宋"/>
              </w:rPr>
            </w:pPr>
          </w:p>
        </w:tc>
        <w:tc>
          <w:tcPr>
            <w:tcW w:w="2240" w:type="dxa"/>
            <w:tcBorders>
              <w:right w:val="single" w:color="auto" w:sz="8" w:space="0"/>
            </w:tcBorders>
            <w:vAlign w:val="bottom"/>
          </w:tcPr>
          <w:p>
            <w:pPr>
              <w:rPr>
                <w:rFonts w:ascii="仿宋" w:hAnsi="仿宋" w:eastAsia="仿宋"/>
              </w:rPr>
            </w:pPr>
          </w:p>
        </w:tc>
        <w:tc>
          <w:tcPr>
            <w:tcW w:w="2700" w:type="dxa"/>
            <w:vAlign w:val="bottom"/>
          </w:tcPr>
          <w:p>
            <w:pPr>
              <w:rPr>
                <w:rFonts w:ascii="仿宋" w:hAnsi="仿宋" w:eastAsia="仿宋"/>
              </w:rPr>
            </w:pPr>
          </w:p>
        </w:tc>
        <w:tc>
          <w:tcPr>
            <w:tcW w:w="1280" w:type="dxa"/>
            <w:gridSpan w:val="2"/>
            <w:vAlign w:val="bottom"/>
          </w:tcPr>
          <w:p>
            <w:pPr>
              <w:spacing w:line="239" w:lineRule="exact"/>
              <w:ind w:left="200"/>
              <w:rPr>
                <w:rFonts w:ascii="仿宋" w:hAnsi="仿宋" w:eastAsia="仿宋"/>
                <w:sz w:val="20"/>
                <w:szCs w:val="20"/>
              </w:rPr>
            </w:pPr>
            <w:r>
              <w:rPr>
                <w:rFonts w:ascii="仿宋" w:hAnsi="仿宋" w:eastAsia="仿宋" w:cs="宋体"/>
              </w:rPr>
              <w:t>支出</w:t>
            </w:r>
          </w:p>
        </w:tc>
        <w:tc>
          <w:tcPr>
            <w:tcW w:w="2300" w:type="dxa"/>
            <w:tcBorders>
              <w:right w:val="single" w:color="auto" w:sz="8" w:space="0"/>
            </w:tcBorders>
            <w:vAlign w:val="bottom"/>
          </w:tcPr>
          <w:p>
            <w:pPr>
              <w:rPr>
                <w:rFonts w:ascii="仿宋" w:hAnsi="仿宋" w:eastAsia="仿宋"/>
              </w:rPr>
            </w:pP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tcBorders>
            <w:vAlign w:val="bottom"/>
          </w:tcPr>
          <w:p>
            <w:pPr>
              <w:rPr>
                <w:rFonts w:ascii="仿宋" w:hAnsi="仿宋" w:eastAsia="仿宋"/>
                <w:sz w:val="5"/>
                <w:szCs w:val="5"/>
              </w:rPr>
            </w:pPr>
          </w:p>
        </w:tc>
        <w:tc>
          <w:tcPr>
            <w:tcW w:w="700" w:type="dxa"/>
            <w:tcBorders>
              <w:bottom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tcBorders>
            <w:vAlign w:val="bottom"/>
          </w:tcPr>
          <w:p>
            <w:pPr>
              <w:rPr>
                <w:rFonts w:ascii="仿宋" w:hAnsi="仿宋" w:eastAsia="仿宋"/>
                <w:sz w:val="5"/>
                <w:szCs w:val="5"/>
              </w:rPr>
            </w:pPr>
          </w:p>
        </w:tc>
        <w:tc>
          <w:tcPr>
            <w:tcW w:w="700" w:type="dxa"/>
            <w:tcBorders>
              <w:bottom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项目</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行次</w:t>
            </w:r>
          </w:p>
        </w:tc>
        <w:tc>
          <w:tcPr>
            <w:tcW w:w="224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金额</w:t>
            </w:r>
          </w:p>
        </w:tc>
        <w:tc>
          <w:tcPr>
            <w:tcW w:w="2700" w:type="dxa"/>
            <w:vAlign w:val="bottom"/>
          </w:tcPr>
          <w:p>
            <w:pPr>
              <w:spacing w:line="251" w:lineRule="exact"/>
              <w:ind w:left="430"/>
              <w:jc w:val="center"/>
              <w:rPr>
                <w:rFonts w:ascii="仿宋" w:hAnsi="仿宋" w:eastAsia="仿宋"/>
                <w:sz w:val="20"/>
                <w:szCs w:val="20"/>
              </w:rPr>
            </w:pPr>
            <w:r>
              <w:rPr>
                <w:rFonts w:ascii="仿宋" w:hAnsi="仿宋" w:eastAsia="仿宋" w:cs="宋体"/>
                <w:w w:val="99"/>
              </w:rPr>
              <w:t>项目</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行次</w:t>
            </w:r>
          </w:p>
        </w:tc>
        <w:tc>
          <w:tcPr>
            <w:tcW w:w="23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金额</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栏次</w:t>
            </w:r>
          </w:p>
        </w:tc>
        <w:tc>
          <w:tcPr>
            <w:tcW w:w="700" w:type="dxa"/>
            <w:tcBorders>
              <w:right w:val="single" w:color="auto" w:sz="8" w:space="0"/>
            </w:tcBorders>
            <w:vAlign w:val="bottom"/>
          </w:tcPr>
          <w:p>
            <w:pPr>
              <w:rPr>
                <w:rFonts w:ascii="仿宋" w:hAnsi="仿宋" w:eastAsia="仿宋"/>
              </w:rPr>
            </w:pPr>
          </w:p>
        </w:tc>
        <w:tc>
          <w:tcPr>
            <w:tcW w:w="2240" w:type="dxa"/>
            <w:tcBorders>
              <w:right w:val="single" w:color="auto" w:sz="8" w:space="0"/>
            </w:tcBorders>
            <w:vAlign w:val="bottom"/>
          </w:tcPr>
          <w:p>
            <w:pPr>
              <w:spacing w:line="251" w:lineRule="exact"/>
              <w:ind w:right="970"/>
              <w:jc w:val="right"/>
              <w:rPr>
                <w:rFonts w:ascii="仿宋" w:hAnsi="仿宋" w:eastAsia="仿宋"/>
                <w:sz w:val="20"/>
                <w:szCs w:val="20"/>
              </w:rPr>
            </w:pPr>
            <w:r>
              <w:rPr>
                <w:rFonts w:ascii="仿宋" w:hAnsi="仿宋" w:eastAsia="仿宋" w:cs="宋体"/>
              </w:rPr>
              <w:t>1</w:t>
            </w:r>
          </w:p>
        </w:tc>
        <w:tc>
          <w:tcPr>
            <w:tcW w:w="2700" w:type="dxa"/>
            <w:vAlign w:val="bottom"/>
          </w:tcPr>
          <w:p>
            <w:pPr>
              <w:spacing w:line="251" w:lineRule="exact"/>
              <w:ind w:left="430"/>
              <w:jc w:val="center"/>
              <w:rPr>
                <w:rFonts w:ascii="仿宋" w:hAnsi="仿宋" w:eastAsia="仿宋"/>
                <w:sz w:val="20"/>
                <w:szCs w:val="20"/>
              </w:rPr>
            </w:pPr>
            <w:r>
              <w:rPr>
                <w:rFonts w:ascii="仿宋" w:hAnsi="仿宋" w:eastAsia="仿宋" w:cs="宋体"/>
                <w:w w:val="99"/>
              </w:rPr>
              <w:t>栏次</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rPr>
                <w:rFonts w:ascii="仿宋" w:hAnsi="仿宋" w:eastAsia="仿宋"/>
              </w:rPr>
            </w:pPr>
          </w:p>
        </w:tc>
        <w:tc>
          <w:tcPr>
            <w:tcW w:w="2300" w:type="dxa"/>
            <w:tcBorders>
              <w:right w:val="single" w:color="auto" w:sz="8" w:space="0"/>
            </w:tcBorders>
            <w:vAlign w:val="bottom"/>
          </w:tcPr>
          <w:p>
            <w:pPr>
              <w:spacing w:line="251" w:lineRule="exact"/>
              <w:ind w:right="990"/>
              <w:jc w:val="right"/>
              <w:rPr>
                <w:rFonts w:ascii="仿宋" w:hAnsi="仿宋" w:eastAsia="仿宋"/>
                <w:sz w:val="20"/>
                <w:szCs w:val="20"/>
              </w:rPr>
            </w:pPr>
            <w:r>
              <w:rPr>
                <w:rFonts w:ascii="仿宋" w:hAnsi="仿宋" w:eastAsia="仿宋" w:cs="宋体"/>
              </w:rPr>
              <w:t>2</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0" w:hRule="atLeast"/>
        </w:trPr>
        <w:tc>
          <w:tcPr>
            <w:tcW w:w="3580" w:type="dxa"/>
            <w:tcBorders>
              <w:left w:val="single" w:color="auto" w:sz="8" w:space="0"/>
              <w:right w:val="single" w:color="auto" w:sz="8" w:space="0"/>
            </w:tcBorders>
            <w:vAlign w:val="bottom"/>
          </w:tcPr>
          <w:p>
            <w:pPr>
              <w:spacing w:line="251" w:lineRule="exact"/>
              <w:ind w:left="120"/>
              <w:rPr>
                <w:rFonts w:ascii="仿宋" w:hAnsi="仿宋" w:eastAsia="仿宋"/>
                <w:sz w:val="20"/>
                <w:szCs w:val="20"/>
              </w:rPr>
            </w:pPr>
            <w:r>
              <w:rPr>
                <w:rFonts w:ascii="仿宋" w:hAnsi="仿宋" w:eastAsia="仿宋" w:cs="宋体"/>
              </w:rPr>
              <w:t>一、一般公共预算财政拨款收入</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1</w:t>
            </w:r>
          </w:p>
        </w:tc>
        <w:tc>
          <w:tcPr>
            <w:tcW w:w="224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12322.67</w:t>
            </w:r>
          </w:p>
        </w:tc>
        <w:tc>
          <w:tcPr>
            <w:tcW w:w="2700" w:type="dxa"/>
            <w:vAlign w:val="bottom"/>
          </w:tcPr>
          <w:p>
            <w:pPr>
              <w:spacing w:line="251" w:lineRule="exact"/>
              <w:ind w:left="100"/>
              <w:rPr>
                <w:rFonts w:ascii="仿宋" w:hAnsi="仿宋" w:eastAsia="仿宋"/>
                <w:sz w:val="20"/>
                <w:szCs w:val="20"/>
              </w:rPr>
            </w:pPr>
            <w:r>
              <w:rPr>
                <w:rFonts w:ascii="仿宋" w:hAnsi="仿宋" w:eastAsia="仿宋" w:cs="宋体"/>
              </w:rPr>
              <w:t>一、一般公共服务支出</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13</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14835.5</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spacing w:line="251" w:lineRule="exact"/>
              <w:ind w:left="120"/>
              <w:rPr>
                <w:rFonts w:ascii="仿宋" w:hAnsi="仿宋" w:eastAsia="仿宋"/>
                <w:sz w:val="20"/>
                <w:szCs w:val="20"/>
              </w:rPr>
            </w:pPr>
            <w:r>
              <w:rPr>
                <w:rFonts w:ascii="仿宋" w:hAnsi="仿宋" w:eastAsia="仿宋" w:cs="宋体"/>
              </w:rPr>
              <w:t>二、事业收入</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2</w:t>
            </w:r>
          </w:p>
        </w:tc>
        <w:tc>
          <w:tcPr>
            <w:tcW w:w="2240" w:type="dxa"/>
            <w:tcBorders>
              <w:right w:val="single" w:color="auto" w:sz="8" w:space="0"/>
            </w:tcBorders>
            <w:vAlign w:val="bottom"/>
          </w:tcPr>
          <w:p>
            <w:pPr>
              <w:spacing w:line="251" w:lineRule="exact"/>
              <w:ind w:right="10"/>
              <w:jc w:val="right"/>
              <w:rPr>
                <w:rFonts w:ascii="仿宋" w:hAnsi="仿宋" w:eastAsia="仿宋"/>
                <w:sz w:val="20"/>
                <w:szCs w:val="20"/>
              </w:rPr>
            </w:pPr>
          </w:p>
        </w:tc>
        <w:tc>
          <w:tcPr>
            <w:tcW w:w="2700" w:type="dxa"/>
            <w:vAlign w:val="bottom"/>
          </w:tcPr>
          <w:p>
            <w:pPr>
              <w:spacing w:line="251" w:lineRule="exact"/>
              <w:ind w:left="100"/>
              <w:rPr>
                <w:rFonts w:ascii="仿宋" w:hAnsi="仿宋" w:eastAsia="仿宋"/>
                <w:sz w:val="20"/>
                <w:szCs w:val="20"/>
              </w:rPr>
            </w:pPr>
            <w:r>
              <w:rPr>
                <w:rFonts w:ascii="仿宋" w:hAnsi="仿宋" w:eastAsia="仿宋" w:cs="宋体"/>
              </w:rPr>
              <w:t>二、外交支出</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14</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spacing w:line="251" w:lineRule="exact"/>
              <w:ind w:left="120"/>
              <w:rPr>
                <w:rFonts w:ascii="仿宋" w:hAnsi="仿宋" w:eastAsia="仿宋"/>
                <w:sz w:val="20"/>
                <w:szCs w:val="20"/>
              </w:rPr>
            </w:pPr>
            <w:r>
              <w:rPr>
                <w:rFonts w:ascii="仿宋" w:hAnsi="仿宋" w:eastAsia="仿宋" w:cs="宋体"/>
              </w:rPr>
              <w:t>三、经营收入</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3</w:t>
            </w:r>
          </w:p>
        </w:tc>
        <w:tc>
          <w:tcPr>
            <w:tcW w:w="2240" w:type="dxa"/>
            <w:tcBorders>
              <w:right w:val="single" w:color="auto" w:sz="8" w:space="0"/>
            </w:tcBorders>
            <w:vAlign w:val="bottom"/>
          </w:tcPr>
          <w:p>
            <w:pPr>
              <w:spacing w:line="251" w:lineRule="exact"/>
              <w:ind w:right="10"/>
              <w:jc w:val="right"/>
              <w:rPr>
                <w:rFonts w:ascii="仿宋" w:hAnsi="仿宋" w:eastAsia="仿宋"/>
                <w:sz w:val="20"/>
                <w:szCs w:val="20"/>
              </w:rPr>
            </w:pPr>
          </w:p>
        </w:tc>
        <w:tc>
          <w:tcPr>
            <w:tcW w:w="2700" w:type="dxa"/>
            <w:vAlign w:val="bottom"/>
          </w:tcPr>
          <w:p>
            <w:pPr>
              <w:spacing w:line="251" w:lineRule="exact"/>
              <w:ind w:left="100"/>
              <w:rPr>
                <w:rFonts w:ascii="仿宋" w:hAnsi="仿宋" w:eastAsia="仿宋"/>
                <w:sz w:val="20"/>
                <w:szCs w:val="20"/>
              </w:rPr>
            </w:pPr>
            <w:r>
              <w:rPr>
                <w:rFonts w:ascii="仿宋" w:hAnsi="仿宋" w:eastAsia="仿宋" w:cs="宋体"/>
              </w:rPr>
              <w:t>三、科学技术支出</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15</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0" w:hRule="atLeast"/>
        </w:trPr>
        <w:tc>
          <w:tcPr>
            <w:tcW w:w="3580" w:type="dxa"/>
            <w:tcBorders>
              <w:left w:val="single" w:color="auto" w:sz="8" w:space="0"/>
              <w:right w:val="single" w:color="auto" w:sz="8" w:space="0"/>
            </w:tcBorders>
            <w:vAlign w:val="bottom"/>
          </w:tcPr>
          <w:p>
            <w:pPr>
              <w:spacing w:line="251" w:lineRule="exact"/>
              <w:ind w:left="120"/>
              <w:rPr>
                <w:rFonts w:ascii="仿宋" w:hAnsi="仿宋" w:eastAsia="仿宋"/>
                <w:sz w:val="20"/>
                <w:szCs w:val="20"/>
              </w:rPr>
            </w:pPr>
            <w:r>
              <w:rPr>
                <w:rFonts w:ascii="仿宋" w:hAnsi="仿宋" w:eastAsia="仿宋" w:cs="宋体"/>
              </w:rPr>
              <w:t>四、其他收入</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4</w:t>
            </w:r>
          </w:p>
        </w:tc>
        <w:tc>
          <w:tcPr>
            <w:tcW w:w="224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5495.67</w:t>
            </w:r>
          </w:p>
        </w:tc>
        <w:tc>
          <w:tcPr>
            <w:tcW w:w="2700" w:type="dxa"/>
            <w:vAlign w:val="bottom"/>
          </w:tcPr>
          <w:p>
            <w:pPr>
              <w:spacing w:line="251" w:lineRule="exact"/>
              <w:ind w:left="100"/>
              <w:rPr>
                <w:rFonts w:ascii="仿宋" w:hAnsi="仿宋" w:eastAsia="仿宋"/>
                <w:sz w:val="20"/>
                <w:szCs w:val="20"/>
              </w:rPr>
            </w:pPr>
            <w:r>
              <w:rPr>
                <w:rFonts w:ascii="仿宋" w:hAnsi="仿宋" w:eastAsia="仿宋" w:cs="宋体"/>
              </w:rPr>
              <w:t>四、社会保障和就业支出</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16</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1335.17</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5</w:t>
            </w:r>
          </w:p>
        </w:tc>
        <w:tc>
          <w:tcPr>
            <w:tcW w:w="2240" w:type="dxa"/>
            <w:tcBorders>
              <w:right w:val="single" w:color="auto" w:sz="8" w:space="0"/>
            </w:tcBorders>
            <w:vAlign w:val="bottom"/>
          </w:tcPr>
          <w:p>
            <w:pPr>
              <w:rPr>
                <w:rFonts w:ascii="仿宋" w:hAnsi="仿宋" w:eastAsia="仿宋"/>
              </w:rPr>
            </w:pPr>
          </w:p>
        </w:tc>
        <w:tc>
          <w:tcPr>
            <w:tcW w:w="2700" w:type="dxa"/>
            <w:vAlign w:val="bottom"/>
          </w:tcPr>
          <w:p>
            <w:pPr>
              <w:spacing w:line="251" w:lineRule="exact"/>
              <w:ind w:left="100"/>
              <w:rPr>
                <w:rFonts w:ascii="仿宋" w:hAnsi="仿宋" w:eastAsia="仿宋"/>
                <w:sz w:val="20"/>
                <w:szCs w:val="20"/>
              </w:rPr>
            </w:pPr>
            <w:r>
              <w:rPr>
                <w:rFonts w:ascii="仿宋" w:hAnsi="仿宋" w:eastAsia="仿宋" w:cs="宋体"/>
              </w:rPr>
              <w:t>五、卫生健康支出</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17</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390.04</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6</w:t>
            </w:r>
          </w:p>
        </w:tc>
        <w:tc>
          <w:tcPr>
            <w:tcW w:w="2240" w:type="dxa"/>
            <w:tcBorders>
              <w:right w:val="single" w:color="auto" w:sz="8" w:space="0"/>
            </w:tcBorders>
            <w:vAlign w:val="bottom"/>
          </w:tcPr>
          <w:p>
            <w:pPr>
              <w:rPr>
                <w:rFonts w:ascii="仿宋" w:hAnsi="仿宋" w:eastAsia="仿宋"/>
              </w:rPr>
            </w:pPr>
          </w:p>
        </w:tc>
        <w:tc>
          <w:tcPr>
            <w:tcW w:w="2700" w:type="dxa"/>
            <w:vAlign w:val="bottom"/>
          </w:tcPr>
          <w:p>
            <w:pPr>
              <w:spacing w:line="251" w:lineRule="exact"/>
              <w:ind w:left="100"/>
              <w:rPr>
                <w:rFonts w:ascii="仿宋" w:hAnsi="仿宋" w:eastAsia="仿宋"/>
                <w:sz w:val="20"/>
                <w:szCs w:val="20"/>
              </w:rPr>
            </w:pPr>
            <w:r>
              <w:rPr>
                <w:rFonts w:ascii="仿宋" w:hAnsi="仿宋" w:eastAsia="仿宋" w:cs="宋体"/>
              </w:rPr>
              <w:t>六、住房保障支出</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18</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817.38</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0" w:hRule="atLeast"/>
        </w:trPr>
        <w:tc>
          <w:tcPr>
            <w:tcW w:w="3580" w:type="dxa"/>
            <w:tcBorders>
              <w:left w:val="single" w:color="auto" w:sz="8" w:space="0"/>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7</w:t>
            </w:r>
          </w:p>
        </w:tc>
        <w:tc>
          <w:tcPr>
            <w:tcW w:w="2240" w:type="dxa"/>
            <w:tcBorders>
              <w:right w:val="single" w:color="auto" w:sz="8" w:space="0"/>
            </w:tcBorders>
            <w:vAlign w:val="bottom"/>
          </w:tcPr>
          <w:p>
            <w:pPr>
              <w:rPr>
                <w:rFonts w:ascii="仿宋" w:hAnsi="仿宋" w:eastAsia="仿宋"/>
              </w:rPr>
            </w:pPr>
          </w:p>
        </w:tc>
        <w:tc>
          <w:tcPr>
            <w:tcW w:w="2700" w:type="dxa"/>
            <w:vAlign w:val="bottom"/>
          </w:tcPr>
          <w:p>
            <w:pPr>
              <w:rPr>
                <w:rFonts w:ascii="仿宋" w:hAnsi="仿宋" w:eastAsia="仿宋"/>
              </w:rPr>
            </w:pP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19</w:t>
            </w:r>
          </w:p>
        </w:tc>
        <w:tc>
          <w:tcPr>
            <w:tcW w:w="2300" w:type="dxa"/>
            <w:tcBorders>
              <w:right w:val="single" w:color="auto" w:sz="8" w:space="0"/>
            </w:tcBorders>
            <w:vAlign w:val="bottom"/>
          </w:tcPr>
          <w:p>
            <w:pPr>
              <w:rPr>
                <w:rFonts w:ascii="仿宋" w:hAnsi="仿宋" w:eastAsia="仿宋"/>
              </w:rPr>
            </w:pP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b/>
                <w:bCs/>
                <w:w w:val="99"/>
              </w:rPr>
              <w:t>本年收入合计</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8</w:t>
            </w:r>
          </w:p>
        </w:tc>
        <w:tc>
          <w:tcPr>
            <w:tcW w:w="224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17818.34</w:t>
            </w:r>
          </w:p>
        </w:tc>
        <w:tc>
          <w:tcPr>
            <w:tcW w:w="2700" w:type="dxa"/>
            <w:vAlign w:val="bottom"/>
          </w:tcPr>
          <w:p>
            <w:pPr>
              <w:spacing w:line="251" w:lineRule="exact"/>
              <w:ind w:left="430"/>
              <w:jc w:val="center"/>
              <w:rPr>
                <w:rFonts w:ascii="仿宋" w:hAnsi="仿宋" w:eastAsia="仿宋"/>
                <w:sz w:val="20"/>
                <w:szCs w:val="20"/>
              </w:rPr>
            </w:pPr>
            <w:r>
              <w:rPr>
                <w:rFonts w:ascii="仿宋" w:hAnsi="仿宋" w:eastAsia="仿宋" w:cs="宋体"/>
                <w:b/>
                <w:bCs/>
                <w:w w:val="99"/>
              </w:rPr>
              <w:t>本年支出合计</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20</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rPr>
              <w:t>17378.08</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spacing w:line="251" w:lineRule="exact"/>
              <w:ind w:left="120"/>
              <w:rPr>
                <w:rFonts w:ascii="仿宋" w:hAnsi="仿宋" w:eastAsia="仿宋"/>
                <w:sz w:val="20"/>
                <w:szCs w:val="20"/>
              </w:rPr>
            </w:pPr>
            <w:r>
              <w:rPr>
                <w:rFonts w:ascii="仿宋" w:hAnsi="仿宋" w:eastAsia="仿宋" w:cs="宋体"/>
              </w:rPr>
              <w:t>使用非财政拨款结余</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rPr>
              <w:t>9</w:t>
            </w:r>
          </w:p>
        </w:tc>
        <w:tc>
          <w:tcPr>
            <w:tcW w:w="2240" w:type="dxa"/>
            <w:tcBorders>
              <w:right w:val="single" w:color="auto" w:sz="8" w:space="0"/>
            </w:tcBorders>
            <w:vAlign w:val="bottom"/>
          </w:tcPr>
          <w:p>
            <w:pPr>
              <w:spacing w:line="251" w:lineRule="exact"/>
              <w:ind w:right="10"/>
              <w:jc w:val="right"/>
              <w:rPr>
                <w:rFonts w:ascii="仿宋" w:hAnsi="仿宋" w:eastAsia="仿宋"/>
                <w:sz w:val="20"/>
                <w:szCs w:val="20"/>
              </w:rPr>
            </w:pPr>
          </w:p>
        </w:tc>
        <w:tc>
          <w:tcPr>
            <w:tcW w:w="2700" w:type="dxa"/>
            <w:vAlign w:val="bottom"/>
          </w:tcPr>
          <w:p>
            <w:pPr>
              <w:spacing w:line="251" w:lineRule="exact"/>
              <w:ind w:left="100"/>
              <w:rPr>
                <w:rFonts w:ascii="仿宋" w:hAnsi="仿宋" w:eastAsia="仿宋"/>
                <w:sz w:val="20"/>
                <w:szCs w:val="20"/>
              </w:rPr>
            </w:pPr>
            <w:r>
              <w:rPr>
                <w:rFonts w:ascii="仿宋" w:hAnsi="仿宋" w:eastAsia="仿宋" w:cs="宋体"/>
              </w:rPr>
              <w:t>结余分配</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21</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0" w:hRule="atLeast"/>
        </w:trPr>
        <w:tc>
          <w:tcPr>
            <w:tcW w:w="3580" w:type="dxa"/>
            <w:tcBorders>
              <w:left w:val="single" w:color="auto" w:sz="8" w:space="0"/>
              <w:right w:val="single" w:color="auto" w:sz="8" w:space="0"/>
            </w:tcBorders>
            <w:vAlign w:val="bottom"/>
          </w:tcPr>
          <w:p>
            <w:pPr>
              <w:spacing w:line="251" w:lineRule="exact"/>
              <w:ind w:left="120"/>
              <w:rPr>
                <w:rFonts w:ascii="仿宋" w:hAnsi="仿宋" w:eastAsia="仿宋"/>
                <w:sz w:val="20"/>
                <w:szCs w:val="20"/>
              </w:rPr>
            </w:pPr>
            <w:r>
              <w:rPr>
                <w:rFonts w:ascii="仿宋" w:hAnsi="仿宋" w:eastAsia="仿宋" w:cs="宋体"/>
              </w:rPr>
              <w:t>年初结转和结余</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10</w:t>
            </w:r>
          </w:p>
        </w:tc>
        <w:tc>
          <w:tcPr>
            <w:tcW w:w="224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4227.72</w:t>
            </w:r>
          </w:p>
        </w:tc>
        <w:tc>
          <w:tcPr>
            <w:tcW w:w="2700" w:type="dxa"/>
            <w:vAlign w:val="bottom"/>
          </w:tcPr>
          <w:p>
            <w:pPr>
              <w:spacing w:line="251" w:lineRule="exact"/>
              <w:ind w:left="100"/>
              <w:rPr>
                <w:rFonts w:ascii="仿宋" w:hAnsi="仿宋" w:eastAsia="仿宋"/>
                <w:sz w:val="20"/>
                <w:szCs w:val="20"/>
              </w:rPr>
            </w:pPr>
            <w:r>
              <w:rPr>
                <w:rFonts w:ascii="仿宋" w:hAnsi="仿宋" w:eastAsia="仿宋" w:cs="宋体"/>
              </w:rPr>
              <w:t>年末结转和结余</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22</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4667.97</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11</w:t>
            </w:r>
          </w:p>
        </w:tc>
        <w:tc>
          <w:tcPr>
            <w:tcW w:w="2240" w:type="dxa"/>
            <w:tcBorders>
              <w:right w:val="single" w:color="auto" w:sz="8" w:space="0"/>
            </w:tcBorders>
            <w:vAlign w:val="bottom"/>
          </w:tcPr>
          <w:p>
            <w:pPr>
              <w:rPr>
                <w:rFonts w:ascii="仿宋" w:hAnsi="仿宋" w:eastAsia="仿宋"/>
              </w:rPr>
            </w:pPr>
          </w:p>
        </w:tc>
        <w:tc>
          <w:tcPr>
            <w:tcW w:w="2700" w:type="dxa"/>
            <w:vAlign w:val="bottom"/>
          </w:tcPr>
          <w:p>
            <w:pPr>
              <w:rPr>
                <w:rFonts w:ascii="仿宋" w:hAnsi="仿宋" w:eastAsia="仿宋"/>
              </w:rPr>
            </w:pP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23</w:t>
            </w:r>
          </w:p>
        </w:tc>
        <w:tc>
          <w:tcPr>
            <w:tcW w:w="2300" w:type="dxa"/>
            <w:tcBorders>
              <w:right w:val="single" w:color="auto" w:sz="8" w:space="0"/>
            </w:tcBorders>
            <w:vAlign w:val="bottom"/>
          </w:tcPr>
          <w:p>
            <w:pPr>
              <w:rPr>
                <w:rFonts w:ascii="仿宋" w:hAnsi="仿宋" w:eastAsia="仿宋"/>
              </w:rPr>
            </w:pP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r>
        <w:tblPrEx>
          <w:tblCellMar>
            <w:top w:w="0" w:type="dxa"/>
            <w:left w:w="0" w:type="dxa"/>
            <w:bottom w:w="0" w:type="dxa"/>
            <w:right w:w="0" w:type="dxa"/>
          </w:tblCellMar>
        </w:tblPrEx>
        <w:trPr>
          <w:trHeight w:val="262" w:hRule="atLeast"/>
        </w:trPr>
        <w:tc>
          <w:tcPr>
            <w:tcW w:w="3580" w:type="dxa"/>
            <w:tcBorders>
              <w:left w:val="single" w:color="auto" w:sz="8" w:space="0"/>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b/>
                <w:bCs/>
                <w:w w:val="99"/>
              </w:rPr>
              <w:t>总计</w:t>
            </w: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12</w:t>
            </w:r>
          </w:p>
        </w:tc>
        <w:tc>
          <w:tcPr>
            <w:tcW w:w="224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22046.06</w:t>
            </w:r>
          </w:p>
        </w:tc>
        <w:tc>
          <w:tcPr>
            <w:tcW w:w="2700" w:type="dxa"/>
            <w:vAlign w:val="bottom"/>
          </w:tcPr>
          <w:p>
            <w:pPr>
              <w:spacing w:line="251" w:lineRule="exact"/>
              <w:ind w:left="430"/>
              <w:jc w:val="center"/>
              <w:rPr>
                <w:rFonts w:ascii="仿宋" w:hAnsi="仿宋" w:eastAsia="仿宋"/>
                <w:sz w:val="20"/>
                <w:szCs w:val="20"/>
              </w:rPr>
            </w:pPr>
            <w:r>
              <w:rPr>
                <w:rFonts w:ascii="仿宋" w:hAnsi="仿宋" w:eastAsia="仿宋" w:cs="宋体"/>
                <w:b/>
                <w:bCs/>
                <w:w w:val="99"/>
              </w:rPr>
              <w:t>总计</w:t>
            </w:r>
          </w:p>
        </w:tc>
        <w:tc>
          <w:tcPr>
            <w:tcW w:w="580" w:type="dxa"/>
            <w:tcBorders>
              <w:right w:val="single" w:color="auto" w:sz="8" w:space="0"/>
            </w:tcBorders>
            <w:vAlign w:val="bottom"/>
          </w:tcPr>
          <w:p>
            <w:pPr>
              <w:rPr>
                <w:rFonts w:ascii="仿宋" w:hAnsi="仿宋" w:eastAsia="仿宋"/>
              </w:rPr>
            </w:pPr>
          </w:p>
        </w:tc>
        <w:tc>
          <w:tcPr>
            <w:tcW w:w="700" w:type="dxa"/>
            <w:tcBorders>
              <w:right w:val="single" w:color="auto" w:sz="8" w:space="0"/>
            </w:tcBorders>
            <w:vAlign w:val="bottom"/>
          </w:tcPr>
          <w:p>
            <w:pPr>
              <w:spacing w:line="251" w:lineRule="exact"/>
              <w:jc w:val="center"/>
              <w:rPr>
                <w:rFonts w:ascii="仿宋" w:hAnsi="仿宋" w:eastAsia="仿宋"/>
                <w:sz w:val="20"/>
                <w:szCs w:val="20"/>
              </w:rPr>
            </w:pPr>
            <w:r>
              <w:rPr>
                <w:rFonts w:ascii="仿宋" w:hAnsi="仿宋" w:eastAsia="仿宋" w:cs="宋体"/>
                <w:w w:val="99"/>
              </w:rPr>
              <w:t>24</w:t>
            </w:r>
          </w:p>
        </w:tc>
        <w:tc>
          <w:tcPr>
            <w:tcW w:w="2300" w:type="dxa"/>
            <w:tcBorders>
              <w:right w:val="single" w:color="auto" w:sz="8" w:space="0"/>
            </w:tcBorders>
            <w:vAlign w:val="bottom"/>
          </w:tcPr>
          <w:p>
            <w:pPr>
              <w:spacing w:line="251" w:lineRule="exact"/>
              <w:ind w:right="10"/>
              <w:jc w:val="right"/>
              <w:rPr>
                <w:rFonts w:ascii="仿宋" w:hAnsi="仿宋" w:eastAsia="仿宋"/>
                <w:sz w:val="20"/>
                <w:szCs w:val="20"/>
              </w:rPr>
            </w:pPr>
            <w:r>
              <w:rPr>
                <w:rFonts w:ascii="仿宋" w:hAnsi="仿宋" w:eastAsia="仿宋" w:cs="宋体"/>
              </w:rPr>
              <w:t>22046.06</w:t>
            </w:r>
          </w:p>
        </w:tc>
      </w:tr>
      <w:tr>
        <w:tblPrEx>
          <w:tblCellMar>
            <w:top w:w="0" w:type="dxa"/>
            <w:left w:w="0" w:type="dxa"/>
            <w:bottom w:w="0" w:type="dxa"/>
            <w:right w:w="0" w:type="dxa"/>
          </w:tblCellMar>
        </w:tblPrEx>
        <w:trPr>
          <w:trHeight w:val="59" w:hRule="atLeast"/>
        </w:trPr>
        <w:tc>
          <w:tcPr>
            <w:tcW w:w="3580" w:type="dxa"/>
            <w:tcBorders>
              <w:left w:val="single" w:color="auto" w:sz="8" w:space="0"/>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240" w:type="dxa"/>
            <w:tcBorders>
              <w:bottom w:val="single" w:color="auto" w:sz="8" w:space="0"/>
              <w:right w:val="single" w:color="auto" w:sz="8" w:space="0"/>
            </w:tcBorders>
            <w:vAlign w:val="bottom"/>
          </w:tcPr>
          <w:p>
            <w:pPr>
              <w:rPr>
                <w:rFonts w:ascii="仿宋" w:hAnsi="仿宋" w:eastAsia="仿宋"/>
                <w:sz w:val="5"/>
                <w:szCs w:val="5"/>
              </w:rPr>
            </w:pPr>
          </w:p>
        </w:tc>
        <w:tc>
          <w:tcPr>
            <w:tcW w:w="2700" w:type="dxa"/>
            <w:tcBorders>
              <w:bottom w:val="single" w:color="auto" w:sz="8" w:space="0"/>
            </w:tcBorders>
            <w:vAlign w:val="bottom"/>
          </w:tcPr>
          <w:p>
            <w:pPr>
              <w:rPr>
                <w:rFonts w:ascii="仿宋" w:hAnsi="仿宋" w:eastAsia="仿宋"/>
                <w:sz w:val="5"/>
                <w:szCs w:val="5"/>
              </w:rPr>
            </w:pPr>
          </w:p>
        </w:tc>
        <w:tc>
          <w:tcPr>
            <w:tcW w:w="580" w:type="dxa"/>
            <w:tcBorders>
              <w:bottom w:val="single" w:color="auto" w:sz="8" w:space="0"/>
              <w:right w:val="single" w:color="auto" w:sz="8" w:space="0"/>
            </w:tcBorders>
            <w:vAlign w:val="bottom"/>
          </w:tcPr>
          <w:p>
            <w:pPr>
              <w:rPr>
                <w:rFonts w:ascii="仿宋" w:hAnsi="仿宋" w:eastAsia="仿宋"/>
                <w:sz w:val="5"/>
                <w:szCs w:val="5"/>
              </w:rPr>
            </w:pPr>
          </w:p>
        </w:tc>
        <w:tc>
          <w:tcPr>
            <w:tcW w:w="700" w:type="dxa"/>
            <w:tcBorders>
              <w:bottom w:val="single" w:color="auto" w:sz="8" w:space="0"/>
              <w:right w:val="single" w:color="auto" w:sz="8" w:space="0"/>
            </w:tcBorders>
            <w:vAlign w:val="bottom"/>
          </w:tcPr>
          <w:p>
            <w:pPr>
              <w:rPr>
                <w:rFonts w:ascii="仿宋" w:hAnsi="仿宋" w:eastAsia="仿宋"/>
                <w:sz w:val="5"/>
                <w:szCs w:val="5"/>
              </w:rPr>
            </w:pPr>
          </w:p>
        </w:tc>
        <w:tc>
          <w:tcPr>
            <w:tcW w:w="2300" w:type="dxa"/>
            <w:tcBorders>
              <w:bottom w:val="single" w:color="auto" w:sz="8" w:space="0"/>
              <w:right w:val="single" w:color="auto" w:sz="8" w:space="0"/>
            </w:tcBorders>
            <w:vAlign w:val="bottom"/>
          </w:tcPr>
          <w:p>
            <w:pPr>
              <w:rPr>
                <w:rFonts w:ascii="仿宋" w:hAnsi="仿宋" w:eastAsia="仿宋"/>
                <w:sz w:val="5"/>
                <w:szCs w:val="5"/>
              </w:rPr>
            </w:pPr>
          </w:p>
        </w:tc>
      </w:tr>
    </w:tbl>
    <w:p>
      <w:pPr>
        <w:spacing w:line="98" w:lineRule="exact"/>
        <w:rPr>
          <w:rFonts w:ascii="仿宋" w:hAnsi="仿宋" w:eastAsia="仿宋"/>
          <w:sz w:val="20"/>
          <w:szCs w:val="20"/>
        </w:rPr>
      </w:pPr>
    </w:p>
    <w:p>
      <w:pPr>
        <w:spacing w:line="251" w:lineRule="exact"/>
        <w:ind w:left="640"/>
        <w:rPr>
          <w:rFonts w:ascii="仿宋" w:hAnsi="仿宋" w:eastAsia="仿宋"/>
          <w:sz w:val="20"/>
          <w:szCs w:val="20"/>
        </w:rPr>
      </w:pPr>
      <w:r>
        <w:rPr>
          <w:rFonts w:ascii="仿宋" w:hAnsi="仿宋" w:eastAsia="仿宋" w:cs="宋体"/>
        </w:rPr>
        <w:t>注：本表反映部门本年度的总收支和年末结转结余情况。本套报表金额单位转换时可能存在尾数误差。</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5" w:lineRule="exact"/>
        <w:rPr>
          <w:sz w:val="20"/>
          <w:szCs w:val="20"/>
        </w:rPr>
      </w:pPr>
    </w:p>
    <w:p>
      <w:pPr>
        <w:sectPr>
          <w:pgSz w:w="16840" w:h="11906" w:orient="landscape"/>
          <w:pgMar w:top="1440" w:right="1440" w:bottom="639" w:left="1440" w:header="0" w:footer="0" w:gutter="0"/>
          <w:cols w:equalWidth="0" w:num="1">
            <w:col w:w="13958"/>
          </w:cols>
        </w:sectPr>
      </w:pPr>
    </w:p>
    <w:p>
      <w:pPr>
        <w:spacing w:line="320" w:lineRule="exact"/>
        <w:ind w:right="-19"/>
        <w:jc w:val="center"/>
        <w:rPr>
          <w:rFonts w:ascii="黑体" w:hAnsi="黑体" w:eastAsia="黑体"/>
          <w:sz w:val="20"/>
          <w:szCs w:val="20"/>
        </w:rPr>
      </w:pPr>
      <w:bookmarkStart w:id="8" w:name="page10"/>
      <w:bookmarkEnd w:id="8"/>
      <w:r>
        <w:rPr>
          <w:rFonts w:ascii="黑体" w:hAnsi="黑体" w:eastAsia="黑体" w:cs="宋体"/>
          <w:b/>
          <w:bCs/>
          <w:sz w:val="28"/>
          <w:szCs w:val="28"/>
        </w:rPr>
        <w:t>收入决算表</w:t>
      </w:r>
    </w:p>
    <w:p>
      <w:pPr>
        <w:spacing w:line="53" w:lineRule="exact"/>
        <w:rPr>
          <w:sz w:val="20"/>
          <w:szCs w:val="20"/>
        </w:rPr>
      </w:pPr>
    </w:p>
    <w:tbl>
      <w:tblPr>
        <w:tblStyle w:val="4"/>
        <w:tblW w:w="14130" w:type="dxa"/>
        <w:tblInd w:w="-10" w:type="dxa"/>
        <w:tblLayout w:type="fixed"/>
        <w:tblCellMar>
          <w:top w:w="0" w:type="dxa"/>
          <w:left w:w="0" w:type="dxa"/>
          <w:bottom w:w="0" w:type="dxa"/>
          <w:right w:w="0" w:type="dxa"/>
        </w:tblCellMar>
      </w:tblPr>
      <w:tblGrid>
        <w:gridCol w:w="1280"/>
        <w:gridCol w:w="3300"/>
        <w:gridCol w:w="1400"/>
        <w:gridCol w:w="1420"/>
        <w:gridCol w:w="1280"/>
        <w:gridCol w:w="1260"/>
        <w:gridCol w:w="1320"/>
        <w:gridCol w:w="1100"/>
        <w:gridCol w:w="160"/>
        <w:gridCol w:w="1580"/>
        <w:gridCol w:w="30"/>
      </w:tblGrid>
      <w:tr>
        <w:tblPrEx>
          <w:tblCellMar>
            <w:top w:w="0" w:type="dxa"/>
            <w:left w:w="0" w:type="dxa"/>
            <w:bottom w:w="0" w:type="dxa"/>
            <w:right w:w="0" w:type="dxa"/>
          </w:tblCellMar>
        </w:tblPrEx>
        <w:trPr>
          <w:trHeight w:val="228" w:hRule="atLeast"/>
        </w:trPr>
        <w:tc>
          <w:tcPr>
            <w:tcW w:w="1280" w:type="dxa"/>
            <w:vAlign w:val="bottom"/>
          </w:tcPr>
          <w:p>
            <w:pPr>
              <w:rPr>
                <w:sz w:val="21"/>
                <w:szCs w:val="21"/>
              </w:rPr>
            </w:pPr>
          </w:p>
        </w:tc>
        <w:tc>
          <w:tcPr>
            <w:tcW w:w="3300" w:type="dxa"/>
            <w:vAlign w:val="bottom"/>
          </w:tcPr>
          <w:p>
            <w:pPr>
              <w:rPr>
                <w:sz w:val="21"/>
                <w:szCs w:val="21"/>
              </w:rPr>
            </w:pPr>
          </w:p>
        </w:tc>
        <w:tc>
          <w:tcPr>
            <w:tcW w:w="1400" w:type="dxa"/>
            <w:vAlign w:val="bottom"/>
          </w:tcPr>
          <w:p>
            <w:pPr>
              <w:rPr>
                <w:sz w:val="21"/>
                <w:szCs w:val="21"/>
              </w:rPr>
            </w:pPr>
          </w:p>
        </w:tc>
        <w:tc>
          <w:tcPr>
            <w:tcW w:w="1420" w:type="dxa"/>
            <w:vAlign w:val="bottom"/>
          </w:tcPr>
          <w:p>
            <w:pPr>
              <w:rPr>
                <w:sz w:val="21"/>
                <w:szCs w:val="21"/>
              </w:rPr>
            </w:pPr>
          </w:p>
        </w:tc>
        <w:tc>
          <w:tcPr>
            <w:tcW w:w="1280" w:type="dxa"/>
            <w:vAlign w:val="bottom"/>
          </w:tcPr>
          <w:p>
            <w:pPr>
              <w:rPr>
                <w:sz w:val="21"/>
                <w:szCs w:val="21"/>
              </w:rPr>
            </w:pPr>
          </w:p>
        </w:tc>
        <w:tc>
          <w:tcPr>
            <w:tcW w:w="1260" w:type="dxa"/>
            <w:vAlign w:val="bottom"/>
          </w:tcPr>
          <w:p>
            <w:pPr>
              <w:rPr>
                <w:sz w:val="21"/>
                <w:szCs w:val="21"/>
              </w:rPr>
            </w:pPr>
          </w:p>
        </w:tc>
        <w:tc>
          <w:tcPr>
            <w:tcW w:w="1320" w:type="dxa"/>
            <w:vAlign w:val="bottom"/>
          </w:tcPr>
          <w:p>
            <w:pPr>
              <w:rPr>
                <w:sz w:val="21"/>
                <w:szCs w:val="21"/>
              </w:rPr>
            </w:pPr>
          </w:p>
        </w:tc>
        <w:tc>
          <w:tcPr>
            <w:tcW w:w="1100" w:type="dxa"/>
            <w:vAlign w:val="bottom"/>
          </w:tcPr>
          <w:p>
            <w:pPr>
              <w:rPr>
                <w:sz w:val="21"/>
                <w:szCs w:val="21"/>
              </w:rPr>
            </w:pPr>
          </w:p>
        </w:tc>
        <w:tc>
          <w:tcPr>
            <w:tcW w:w="160" w:type="dxa"/>
            <w:vAlign w:val="bottom"/>
          </w:tcPr>
          <w:p>
            <w:pPr>
              <w:rPr>
                <w:sz w:val="21"/>
                <w:szCs w:val="21"/>
              </w:rPr>
            </w:pPr>
          </w:p>
        </w:tc>
        <w:tc>
          <w:tcPr>
            <w:tcW w:w="1580" w:type="dxa"/>
            <w:vAlign w:val="bottom"/>
          </w:tcPr>
          <w:p>
            <w:pPr>
              <w:spacing w:line="251" w:lineRule="exact"/>
              <w:ind w:right="10"/>
              <w:jc w:val="right"/>
              <w:rPr>
                <w:sz w:val="20"/>
                <w:szCs w:val="20"/>
              </w:rPr>
            </w:pPr>
            <w:r>
              <w:rPr>
                <w:rFonts w:ascii="宋体" w:hAnsi="宋体" w:eastAsia="宋体" w:cs="宋体"/>
              </w:rPr>
              <w:t>公开02表</w:t>
            </w:r>
          </w:p>
        </w:tc>
        <w:tc>
          <w:tcPr>
            <w:tcW w:w="30" w:type="dxa"/>
            <w:vAlign w:val="bottom"/>
          </w:tcPr>
          <w:p>
            <w:pPr>
              <w:rPr>
                <w:sz w:val="1"/>
                <w:szCs w:val="1"/>
              </w:rPr>
            </w:pPr>
          </w:p>
        </w:tc>
      </w:tr>
      <w:tr>
        <w:tblPrEx>
          <w:tblCellMar>
            <w:top w:w="0" w:type="dxa"/>
            <w:left w:w="0" w:type="dxa"/>
            <w:bottom w:w="0" w:type="dxa"/>
            <w:right w:w="0" w:type="dxa"/>
          </w:tblCellMar>
        </w:tblPrEx>
        <w:trPr>
          <w:trHeight w:val="270" w:hRule="atLeast"/>
        </w:trPr>
        <w:tc>
          <w:tcPr>
            <w:tcW w:w="4580" w:type="dxa"/>
            <w:gridSpan w:val="2"/>
            <w:vAlign w:val="bottom"/>
          </w:tcPr>
          <w:p>
            <w:pPr>
              <w:spacing w:line="251" w:lineRule="exact"/>
              <w:ind w:left="120"/>
              <w:rPr>
                <w:rFonts w:ascii="仿宋" w:hAnsi="仿宋" w:eastAsia="仿宋"/>
                <w:sz w:val="20"/>
                <w:szCs w:val="20"/>
              </w:rPr>
            </w:pPr>
            <w:r>
              <w:rPr>
                <w:rFonts w:ascii="仿宋" w:hAnsi="仿宋" w:eastAsia="仿宋" w:cs="宋体"/>
              </w:rPr>
              <w:t>部门：国家统计局</w:t>
            </w:r>
            <w:r>
              <w:rPr>
                <w:rFonts w:hint="eastAsia" w:ascii="仿宋" w:hAnsi="仿宋" w:eastAsia="仿宋" w:cs="宋体"/>
              </w:rPr>
              <w:t>山西调查总队</w:t>
            </w:r>
          </w:p>
        </w:tc>
        <w:tc>
          <w:tcPr>
            <w:tcW w:w="1400" w:type="dxa"/>
            <w:vAlign w:val="bottom"/>
          </w:tcPr>
          <w:p>
            <w:pPr>
              <w:rPr>
                <w:rFonts w:ascii="仿宋" w:hAnsi="仿宋" w:eastAsia="仿宋"/>
                <w:sz w:val="24"/>
                <w:szCs w:val="24"/>
              </w:rPr>
            </w:pPr>
          </w:p>
        </w:tc>
        <w:tc>
          <w:tcPr>
            <w:tcW w:w="1420" w:type="dxa"/>
            <w:vAlign w:val="bottom"/>
          </w:tcPr>
          <w:p>
            <w:pPr>
              <w:rPr>
                <w:rFonts w:ascii="仿宋" w:hAnsi="仿宋" w:eastAsia="仿宋"/>
                <w:sz w:val="24"/>
                <w:szCs w:val="24"/>
              </w:rPr>
            </w:pPr>
          </w:p>
        </w:tc>
        <w:tc>
          <w:tcPr>
            <w:tcW w:w="1280" w:type="dxa"/>
            <w:vAlign w:val="bottom"/>
          </w:tcPr>
          <w:p>
            <w:pPr>
              <w:rPr>
                <w:rFonts w:ascii="仿宋" w:hAnsi="仿宋" w:eastAsia="仿宋"/>
                <w:sz w:val="24"/>
                <w:szCs w:val="24"/>
              </w:rPr>
            </w:pPr>
          </w:p>
        </w:tc>
        <w:tc>
          <w:tcPr>
            <w:tcW w:w="1260" w:type="dxa"/>
            <w:vAlign w:val="bottom"/>
          </w:tcPr>
          <w:p>
            <w:pPr>
              <w:rPr>
                <w:rFonts w:ascii="仿宋" w:hAnsi="仿宋" w:eastAsia="仿宋"/>
                <w:sz w:val="24"/>
                <w:szCs w:val="24"/>
              </w:rPr>
            </w:pPr>
          </w:p>
        </w:tc>
        <w:tc>
          <w:tcPr>
            <w:tcW w:w="1320" w:type="dxa"/>
            <w:vAlign w:val="bottom"/>
          </w:tcPr>
          <w:p>
            <w:pPr>
              <w:rPr>
                <w:rFonts w:ascii="仿宋" w:hAnsi="仿宋" w:eastAsia="仿宋"/>
                <w:sz w:val="24"/>
                <w:szCs w:val="24"/>
              </w:rPr>
            </w:pPr>
          </w:p>
        </w:tc>
        <w:tc>
          <w:tcPr>
            <w:tcW w:w="1100" w:type="dxa"/>
            <w:vAlign w:val="bottom"/>
          </w:tcPr>
          <w:p>
            <w:pPr>
              <w:rPr>
                <w:rFonts w:ascii="仿宋" w:hAnsi="仿宋" w:eastAsia="仿宋"/>
                <w:sz w:val="24"/>
                <w:szCs w:val="24"/>
              </w:rPr>
            </w:pPr>
          </w:p>
        </w:tc>
        <w:tc>
          <w:tcPr>
            <w:tcW w:w="1740" w:type="dxa"/>
            <w:gridSpan w:val="2"/>
            <w:vAlign w:val="bottom"/>
          </w:tcPr>
          <w:p>
            <w:pPr>
              <w:spacing w:line="251" w:lineRule="exact"/>
              <w:ind w:right="10"/>
              <w:jc w:val="right"/>
              <w:rPr>
                <w:rFonts w:ascii="仿宋" w:hAnsi="仿宋" w:eastAsia="仿宋"/>
                <w:sz w:val="20"/>
                <w:szCs w:val="20"/>
              </w:rPr>
            </w:pPr>
            <w:r>
              <w:rPr>
                <w:rFonts w:ascii="仿宋" w:hAnsi="仿宋" w:eastAsia="仿宋" w:cs="宋体"/>
              </w:rPr>
              <w:t>金额单位：万元</w:t>
            </w:r>
          </w:p>
        </w:tc>
        <w:tc>
          <w:tcPr>
            <w:tcW w:w="30" w:type="dxa"/>
            <w:vAlign w:val="bottom"/>
          </w:tcPr>
          <w:p>
            <w:pPr>
              <w:rPr>
                <w:rFonts w:ascii="仿宋" w:hAnsi="仿宋" w:eastAsia="仿宋"/>
                <w:sz w:val="1"/>
                <w:szCs w:val="1"/>
              </w:rPr>
            </w:pPr>
          </w:p>
        </w:tc>
      </w:tr>
    </w:tbl>
    <w:p>
      <w:pPr>
        <w:spacing w:line="139" w:lineRule="exact"/>
        <w:rPr>
          <w:rFonts w:ascii="仿宋" w:hAnsi="仿宋" w:eastAsia="仿宋"/>
          <w:b/>
          <w:sz w:val="20"/>
          <w:szCs w:val="20"/>
        </w:rPr>
      </w:pPr>
    </w:p>
    <w:tbl>
      <w:tblPr>
        <w:tblStyle w:val="4"/>
        <w:tblW w:w="13907" w:type="dxa"/>
        <w:tblInd w:w="0" w:type="dxa"/>
        <w:tblLayout w:type="autofit"/>
        <w:tblCellMar>
          <w:top w:w="15" w:type="dxa"/>
          <w:left w:w="15" w:type="dxa"/>
          <w:bottom w:w="15" w:type="dxa"/>
          <w:right w:w="15" w:type="dxa"/>
        </w:tblCellMar>
      </w:tblPr>
      <w:tblGrid>
        <w:gridCol w:w="420"/>
        <w:gridCol w:w="850"/>
        <w:gridCol w:w="850"/>
        <w:gridCol w:w="3575"/>
        <w:gridCol w:w="1445"/>
        <w:gridCol w:w="1200"/>
        <w:gridCol w:w="1260"/>
        <w:gridCol w:w="1200"/>
        <w:gridCol w:w="981"/>
        <w:gridCol w:w="992"/>
        <w:gridCol w:w="1134"/>
      </w:tblGrid>
      <w:tr>
        <w:tblPrEx>
          <w:tblCellMar>
            <w:top w:w="15" w:type="dxa"/>
            <w:left w:w="15" w:type="dxa"/>
            <w:bottom w:w="15" w:type="dxa"/>
            <w:right w:w="15" w:type="dxa"/>
          </w:tblCellMar>
        </w:tblPrEx>
        <w:trPr>
          <w:trHeight w:val="312" w:hRule="atLeast"/>
        </w:trPr>
        <w:tc>
          <w:tcPr>
            <w:tcW w:w="2120"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科目编码</w:t>
            </w:r>
          </w:p>
        </w:tc>
        <w:tc>
          <w:tcPr>
            <w:tcW w:w="3575"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科目名称</w:t>
            </w:r>
          </w:p>
        </w:tc>
        <w:tc>
          <w:tcPr>
            <w:tcW w:w="1445"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本年收入合计</w:t>
            </w:r>
          </w:p>
        </w:tc>
        <w:tc>
          <w:tcPr>
            <w:tcW w:w="1200"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财政拨</w:t>
            </w:r>
          </w:p>
          <w:p>
            <w:pPr>
              <w:jc w:val="center"/>
              <w:rPr>
                <w:rFonts w:ascii="仿宋" w:hAnsi="仿宋" w:eastAsia="仿宋" w:cs="Arial"/>
              </w:rPr>
            </w:pPr>
            <w:r>
              <w:rPr>
                <w:rFonts w:hint="eastAsia" w:ascii="仿宋" w:hAnsi="仿宋" w:eastAsia="仿宋" w:cs="Arial"/>
              </w:rPr>
              <w:t>款收入</w:t>
            </w:r>
          </w:p>
        </w:tc>
        <w:tc>
          <w:tcPr>
            <w:tcW w:w="1260"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上级补</w:t>
            </w:r>
          </w:p>
          <w:p>
            <w:pPr>
              <w:jc w:val="center"/>
              <w:rPr>
                <w:rFonts w:ascii="仿宋" w:hAnsi="仿宋" w:eastAsia="仿宋" w:cs="Arial"/>
              </w:rPr>
            </w:pPr>
            <w:r>
              <w:rPr>
                <w:rFonts w:hint="eastAsia" w:ascii="仿宋" w:hAnsi="仿宋" w:eastAsia="仿宋" w:cs="Arial"/>
              </w:rPr>
              <w:t>助收入</w:t>
            </w:r>
          </w:p>
        </w:tc>
        <w:tc>
          <w:tcPr>
            <w:tcW w:w="1200"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事业收入</w:t>
            </w:r>
          </w:p>
        </w:tc>
        <w:tc>
          <w:tcPr>
            <w:tcW w:w="981"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经营收入</w:t>
            </w:r>
          </w:p>
        </w:tc>
        <w:tc>
          <w:tcPr>
            <w:tcW w:w="992"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附属单位上缴收入</w:t>
            </w:r>
          </w:p>
        </w:tc>
        <w:tc>
          <w:tcPr>
            <w:tcW w:w="1134"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其他收入</w:t>
            </w:r>
          </w:p>
        </w:tc>
      </w:tr>
      <w:tr>
        <w:tblPrEx>
          <w:tblCellMar>
            <w:top w:w="15" w:type="dxa"/>
            <w:left w:w="15" w:type="dxa"/>
            <w:bottom w:w="15" w:type="dxa"/>
            <w:right w:w="15" w:type="dxa"/>
          </w:tblCellMar>
        </w:tblPrEx>
        <w:trPr>
          <w:trHeight w:val="300" w:hRule="atLeast"/>
        </w:trPr>
        <w:tc>
          <w:tcPr>
            <w:tcW w:w="212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Arial"/>
              </w:rPr>
            </w:pPr>
          </w:p>
        </w:tc>
        <w:tc>
          <w:tcPr>
            <w:tcW w:w="3575"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445"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0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6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0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981"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992"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134"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r>
      <w:tr>
        <w:tblPrEx>
          <w:tblCellMar>
            <w:top w:w="15" w:type="dxa"/>
            <w:left w:w="15" w:type="dxa"/>
            <w:bottom w:w="15" w:type="dxa"/>
            <w:right w:w="15" w:type="dxa"/>
          </w:tblCellMar>
        </w:tblPrEx>
        <w:trPr>
          <w:trHeight w:val="300" w:hRule="atLeast"/>
        </w:trPr>
        <w:tc>
          <w:tcPr>
            <w:tcW w:w="212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Arial"/>
              </w:rPr>
            </w:pPr>
          </w:p>
        </w:tc>
        <w:tc>
          <w:tcPr>
            <w:tcW w:w="3575"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445"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0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6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0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981"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992"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134"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r>
      <w:tr>
        <w:tblPrEx>
          <w:tblCellMar>
            <w:top w:w="15" w:type="dxa"/>
            <w:left w:w="15" w:type="dxa"/>
            <w:bottom w:w="15" w:type="dxa"/>
            <w:right w:w="15" w:type="dxa"/>
          </w:tblCellMar>
        </w:tblPrEx>
        <w:trPr>
          <w:trHeight w:val="312" w:hRule="atLeast"/>
        </w:trPr>
        <w:tc>
          <w:tcPr>
            <w:tcW w:w="212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Arial"/>
              </w:rPr>
            </w:pPr>
          </w:p>
        </w:tc>
        <w:tc>
          <w:tcPr>
            <w:tcW w:w="3575"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445"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0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6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0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981"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992"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134"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r>
      <w:tr>
        <w:tblPrEx>
          <w:tblCellMar>
            <w:top w:w="15" w:type="dxa"/>
            <w:left w:w="15" w:type="dxa"/>
            <w:bottom w:w="15" w:type="dxa"/>
            <w:right w:w="15" w:type="dxa"/>
          </w:tblCellMar>
        </w:tblPrEx>
        <w:trPr>
          <w:trHeight w:val="300" w:hRule="atLeast"/>
        </w:trPr>
        <w:tc>
          <w:tcPr>
            <w:tcW w:w="420" w:type="dxa"/>
            <w:vMerge w:val="restart"/>
            <w:tcBorders>
              <w:left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类</w:t>
            </w:r>
          </w:p>
        </w:tc>
        <w:tc>
          <w:tcPr>
            <w:tcW w:w="850" w:type="dxa"/>
            <w:vMerge w:val="restart"/>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款</w:t>
            </w:r>
          </w:p>
        </w:tc>
        <w:tc>
          <w:tcPr>
            <w:tcW w:w="850" w:type="dxa"/>
            <w:vMerge w:val="restart"/>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项</w:t>
            </w:r>
          </w:p>
        </w:tc>
        <w:tc>
          <w:tcPr>
            <w:tcW w:w="3575"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栏次</w:t>
            </w:r>
          </w:p>
        </w:tc>
        <w:tc>
          <w:tcPr>
            <w:tcW w:w="1445"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1</w:t>
            </w:r>
          </w:p>
        </w:tc>
        <w:tc>
          <w:tcPr>
            <w:tcW w:w="1200"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2</w:t>
            </w:r>
          </w:p>
        </w:tc>
        <w:tc>
          <w:tcPr>
            <w:tcW w:w="1260"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3</w:t>
            </w:r>
          </w:p>
        </w:tc>
        <w:tc>
          <w:tcPr>
            <w:tcW w:w="1200"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4</w:t>
            </w:r>
          </w:p>
        </w:tc>
        <w:tc>
          <w:tcPr>
            <w:tcW w:w="981"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5</w:t>
            </w:r>
          </w:p>
        </w:tc>
        <w:tc>
          <w:tcPr>
            <w:tcW w:w="992"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6</w:t>
            </w:r>
          </w:p>
        </w:tc>
        <w:tc>
          <w:tcPr>
            <w:tcW w:w="1134"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7</w:t>
            </w:r>
          </w:p>
        </w:tc>
      </w:tr>
      <w:tr>
        <w:tblPrEx>
          <w:tblCellMar>
            <w:top w:w="15" w:type="dxa"/>
            <w:left w:w="15" w:type="dxa"/>
            <w:bottom w:w="15" w:type="dxa"/>
            <w:right w:w="15" w:type="dxa"/>
          </w:tblCellMar>
        </w:tblPrEx>
        <w:trPr>
          <w:trHeight w:val="263" w:hRule="atLeast"/>
        </w:trPr>
        <w:tc>
          <w:tcPr>
            <w:tcW w:w="420" w:type="dxa"/>
            <w:vMerge w:val="continue"/>
            <w:tcBorders>
              <w:left w:val="single" w:color="000000" w:sz="4" w:space="0"/>
              <w:bottom w:val="single" w:color="000000" w:sz="4" w:space="0"/>
              <w:right w:val="single" w:color="000000" w:sz="4" w:space="0"/>
            </w:tcBorders>
            <w:vAlign w:val="center"/>
          </w:tcPr>
          <w:p>
            <w:pPr>
              <w:rPr>
                <w:rFonts w:ascii="仿宋" w:hAnsi="仿宋" w:eastAsia="仿宋" w:cs="Arial"/>
              </w:rPr>
            </w:pPr>
          </w:p>
        </w:tc>
        <w:tc>
          <w:tcPr>
            <w:tcW w:w="850" w:type="dxa"/>
            <w:vMerge w:val="continue"/>
            <w:tcBorders>
              <w:bottom w:val="single" w:color="000000" w:sz="4" w:space="0"/>
              <w:right w:val="single" w:color="000000" w:sz="4" w:space="0"/>
            </w:tcBorders>
            <w:vAlign w:val="center"/>
          </w:tcPr>
          <w:p>
            <w:pPr>
              <w:rPr>
                <w:rFonts w:ascii="仿宋" w:hAnsi="仿宋" w:eastAsia="仿宋" w:cs="Arial"/>
              </w:rPr>
            </w:pPr>
          </w:p>
        </w:tc>
        <w:tc>
          <w:tcPr>
            <w:tcW w:w="850" w:type="dxa"/>
            <w:vMerge w:val="continue"/>
            <w:tcBorders>
              <w:bottom w:val="single" w:color="000000" w:sz="4" w:space="0"/>
              <w:right w:val="single" w:color="000000" w:sz="4" w:space="0"/>
            </w:tcBorders>
            <w:vAlign w:val="center"/>
          </w:tcPr>
          <w:p>
            <w:pPr>
              <w:rPr>
                <w:rFonts w:ascii="仿宋" w:hAnsi="仿宋" w:eastAsia="仿宋" w:cs="Arial"/>
              </w:rPr>
            </w:pPr>
          </w:p>
        </w:tc>
        <w:tc>
          <w:tcPr>
            <w:tcW w:w="3575"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合计</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17,818.34</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12,322.67</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5,495.67</w:t>
            </w:r>
          </w:p>
        </w:tc>
      </w:tr>
      <w:tr>
        <w:tblPrEx>
          <w:tblCellMar>
            <w:top w:w="15" w:type="dxa"/>
            <w:left w:w="15" w:type="dxa"/>
            <w:bottom w:w="15" w:type="dxa"/>
            <w:right w:w="15" w:type="dxa"/>
          </w:tblCellMar>
        </w:tblPrEx>
        <w:trPr>
          <w:trHeight w:val="291"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一般公共服务支出</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15,398.51</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9,902.84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5,495.67</w:t>
            </w:r>
          </w:p>
        </w:tc>
      </w:tr>
      <w:tr>
        <w:tblPrEx>
          <w:tblCellMar>
            <w:top w:w="15" w:type="dxa"/>
            <w:left w:w="15" w:type="dxa"/>
            <w:bottom w:w="15" w:type="dxa"/>
            <w:right w:w="15" w:type="dxa"/>
          </w:tblCellMar>
        </w:tblPrEx>
        <w:trPr>
          <w:trHeight w:val="288"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统计信息事务</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15,398.51</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9,902.84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5,495.67</w:t>
            </w:r>
          </w:p>
        </w:tc>
      </w:tr>
      <w:tr>
        <w:tblPrEx>
          <w:tblCellMar>
            <w:top w:w="15" w:type="dxa"/>
            <w:left w:w="15" w:type="dxa"/>
            <w:bottom w:w="15" w:type="dxa"/>
            <w:right w:w="15" w:type="dxa"/>
          </w:tblCellMar>
        </w:tblPrEx>
        <w:trPr>
          <w:trHeight w:val="275"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2010501</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行政运行</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7,896.94</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7,896.94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81"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2010502</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一般行政管理事务</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135.00</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135.00</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00"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2010505</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专项统计业务</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267.00</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267.00</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00"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w:t>
            </w:r>
            <w:r>
              <w:rPr>
                <w:rFonts w:ascii="仿宋" w:hAnsi="仿宋" w:eastAsia="仿宋" w:cs="Arial"/>
              </w:rPr>
              <w:t>010506</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统计管理</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36.00</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36.00</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71"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2010508</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统计抽样调查</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7,063.57</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1,567.90</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5,495.67</w:t>
            </w:r>
          </w:p>
        </w:tc>
      </w:tr>
      <w:tr>
        <w:tblPrEx>
          <w:tblCellMar>
            <w:top w:w="15" w:type="dxa"/>
            <w:left w:w="15" w:type="dxa"/>
            <w:bottom w:w="15" w:type="dxa"/>
            <w:right w:w="15" w:type="dxa"/>
          </w:tblCellMar>
        </w:tblPrEx>
        <w:trPr>
          <w:trHeight w:val="291"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208</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社会保障和就业支出</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1,113.55</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1,113.55</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91"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w:t>
            </w:r>
            <w:r>
              <w:rPr>
                <w:rFonts w:ascii="仿宋" w:hAnsi="仿宋" w:eastAsia="仿宋" w:cs="Arial"/>
              </w:rPr>
              <w:t>0805</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行政事业单位养老支出</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1,113.55</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1,113.55</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80"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2080505</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机关事业单位基本养老保险缴费支出</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742.37</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742.37</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77"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2080506</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机关事业单位职业年金缴费支出</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371.18</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371.18</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62"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210</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卫生健康支出</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43"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21011</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行政事业单位医疗</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01"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2101101</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行政单位医疗</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62"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221</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住房保障支出</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916.24</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916.24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93"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22102</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住房改革支出</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916.24</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916.24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02"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2210201</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住房公积金</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713.90</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713.90</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30" w:hRule="atLeast"/>
        </w:trPr>
        <w:tc>
          <w:tcPr>
            <w:tcW w:w="2120"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2210203</w:t>
            </w:r>
          </w:p>
        </w:tc>
        <w:tc>
          <w:tcPr>
            <w:tcW w:w="3575"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购房补贴</w:t>
            </w:r>
          </w:p>
        </w:tc>
        <w:tc>
          <w:tcPr>
            <w:tcW w:w="144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202.34</w:t>
            </w: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202.34</w:t>
            </w:r>
          </w:p>
        </w:tc>
        <w:tc>
          <w:tcPr>
            <w:tcW w:w="126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8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992"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bl>
    <w:p>
      <w:pPr>
        <w:spacing w:line="237" w:lineRule="exact"/>
        <w:rPr>
          <w:rFonts w:ascii="仿宋" w:hAnsi="仿宋" w:eastAsia="仿宋"/>
          <w:sz w:val="20"/>
          <w:szCs w:val="20"/>
        </w:rPr>
      </w:pPr>
    </w:p>
    <w:p>
      <w:pPr>
        <w:spacing w:line="251" w:lineRule="exact"/>
        <w:ind w:left="120"/>
        <w:rPr>
          <w:rFonts w:ascii="仿宋" w:hAnsi="仿宋" w:eastAsia="仿宋"/>
          <w:sz w:val="20"/>
          <w:szCs w:val="20"/>
        </w:rPr>
      </w:pPr>
      <w:r>
        <w:rPr>
          <w:rFonts w:ascii="仿宋" w:hAnsi="仿宋" w:eastAsia="仿宋" w:cs="宋体"/>
        </w:rPr>
        <w:t>注：本表反映部门本年度取得的各项收入情况。</w:t>
      </w:r>
    </w:p>
    <w:p>
      <w:pPr>
        <w:spacing w:line="139" w:lineRule="exact"/>
        <w:rPr>
          <w:rFonts w:ascii="仿宋" w:hAnsi="仿宋" w:eastAsia="仿宋"/>
          <w:sz w:val="20"/>
          <w:szCs w:val="20"/>
        </w:rPr>
      </w:pPr>
    </w:p>
    <w:p>
      <w:pPr>
        <w:spacing w:line="320" w:lineRule="exact"/>
        <w:jc w:val="center"/>
        <w:rPr>
          <w:rFonts w:ascii="黑体" w:hAnsi="黑体" w:eastAsia="黑体"/>
          <w:sz w:val="20"/>
          <w:szCs w:val="20"/>
        </w:rPr>
      </w:pPr>
      <w:r>
        <w:rPr>
          <w:rFonts w:ascii="黑体" w:hAnsi="黑体" w:eastAsia="黑体" w:cs="宋体"/>
          <w:b/>
          <w:bCs/>
          <w:sz w:val="28"/>
          <w:szCs w:val="28"/>
        </w:rPr>
        <w:t>支出决算表</w:t>
      </w:r>
    </w:p>
    <w:p>
      <w:pPr>
        <w:spacing w:line="41" w:lineRule="exact"/>
        <w:rPr>
          <w:sz w:val="20"/>
          <w:szCs w:val="20"/>
        </w:rPr>
      </w:pPr>
    </w:p>
    <w:tbl>
      <w:tblPr>
        <w:tblStyle w:val="4"/>
        <w:tblW w:w="14030" w:type="dxa"/>
        <w:tblInd w:w="-135" w:type="dxa"/>
        <w:tblLayout w:type="fixed"/>
        <w:tblCellMar>
          <w:top w:w="0" w:type="dxa"/>
          <w:left w:w="0" w:type="dxa"/>
          <w:bottom w:w="0" w:type="dxa"/>
          <w:right w:w="0" w:type="dxa"/>
        </w:tblCellMar>
      </w:tblPr>
      <w:tblGrid>
        <w:gridCol w:w="1702"/>
        <w:gridCol w:w="2762"/>
        <w:gridCol w:w="1621"/>
        <w:gridCol w:w="1661"/>
        <w:gridCol w:w="1681"/>
        <w:gridCol w:w="1401"/>
        <w:gridCol w:w="1461"/>
        <w:gridCol w:w="100"/>
        <w:gridCol w:w="1621"/>
        <w:gridCol w:w="20"/>
      </w:tblGrid>
      <w:tr>
        <w:tblPrEx>
          <w:tblCellMar>
            <w:top w:w="0" w:type="dxa"/>
            <w:left w:w="0" w:type="dxa"/>
            <w:bottom w:w="0" w:type="dxa"/>
            <w:right w:w="0" w:type="dxa"/>
          </w:tblCellMar>
        </w:tblPrEx>
        <w:trPr>
          <w:trHeight w:val="251" w:hRule="atLeast"/>
        </w:trPr>
        <w:tc>
          <w:tcPr>
            <w:tcW w:w="1700" w:type="dxa"/>
            <w:vAlign w:val="bottom"/>
          </w:tcPr>
          <w:p>
            <w:pPr>
              <w:rPr>
                <w:rFonts w:ascii="仿宋" w:hAnsi="仿宋" w:eastAsia="仿宋"/>
                <w:sz w:val="21"/>
                <w:szCs w:val="21"/>
              </w:rPr>
            </w:pPr>
          </w:p>
        </w:tc>
        <w:tc>
          <w:tcPr>
            <w:tcW w:w="2760" w:type="dxa"/>
            <w:vAlign w:val="bottom"/>
          </w:tcPr>
          <w:p>
            <w:pPr>
              <w:rPr>
                <w:rFonts w:ascii="仿宋" w:hAnsi="仿宋" w:eastAsia="仿宋"/>
                <w:sz w:val="21"/>
                <w:szCs w:val="21"/>
              </w:rPr>
            </w:pPr>
          </w:p>
        </w:tc>
        <w:tc>
          <w:tcPr>
            <w:tcW w:w="1620" w:type="dxa"/>
            <w:vAlign w:val="bottom"/>
          </w:tcPr>
          <w:p>
            <w:pPr>
              <w:rPr>
                <w:rFonts w:ascii="仿宋" w:hAnsi="仿宋" w:eastAsia="仿宋"/>
                <w:sz w:val="21"/>
                <w:szCs w:val="21"/>
              </w:rPr>
            </w:pPr>
          </w:p>
        </w:tc>
        <w:tc>
          <w:tcPr>
            <w:tcW w:w="1660" w:type="dxa"/>
            <w:vAlign w:val="bottom"/>
          </w:tcPr>
          <w:p>
            <w:pPr>
              <w:rPr>
                <w:rFonts w:ascii="仿宋" w:hAnsi="仿宋" w:eastAsia="仿宋"/>
                <w:sz w:val="21"/>
                <w:szCs w:val="21"/>
              </w:rPr>
            </w:pPr>
          </w:p>
        </w:tc>
        <w:tc>
          <w:tcPr>
            <w:tcW w:w="1680" w:type="dxa"/>
            <w:vAlign w:val="bottom"/>
          </w:tcPr>
          <w:p>
            <w:pPr>
              <w:rPr>
                <w:rFonts w:ascii="仿宋" w:hAnsi="仿宋" w:eastAsia="仿宋"/>
                <w:sz w:val="21"/>
                <w:szCs w:val="21"/>
              </w:rPr>
            </w:pPr>
          </w:p>
        </w:tc>
        <w:tc>
          <w:tcPr>
            <w:tcW w:w="1400" w:type="dxa"/>
            <w:vAlign w:val="bottom"/>
          </w:tcPr>
          <w:p>
            <w:pPr>
              <w:rPr>
                <w:rFonts w:ascii="仿宋" w:hAnsi="仿宋" w:eastAsia="仿宋"/>
                <w:sz w:val="21"/>
                <w:szCs w:val="21"/>
              </w:rPr>
            </w:pPr>
          </w:p>
        </w:tc>
        <w:tc>
          <w:tcPr>
            <w:tcW w:w="1460" w:type="dxa"/>
            <w:vAlign w:val="bottom"/>
          </w:tcPr>
          <w:p>
            <w:pPr>
              <w:rPr>
                <w:rFonts w:ascii="仿宋" w:hAnsi="仿宋" w:eastAsia="仿宋"/>
                <w:sz w:val="21"/>
                <w:szCs w:val="21"/>
              </w:rPr>
            </w:pPr>
          </w:p>
        </w:tc>
        <w:tc>
          <w:tcPr>
            <w:tcW w:w="100" w:type="dxa"/>
            <w:vAlign w:val="bottom"/>
          </w:tcPr>
          <w:p>
            <w:pPr>
              <w:rPr>
                <w:rFonts w:ascii="仿宋" w:hAnsi="仿宋" w:eastAsia="仿宋"/>
                <w:sz w:val="21"/>
                <w:szCs w:val="21"/>
              </w:rPr>
            </w:pPr>
          </w:p>
        </w:tc>
        <w:tc>
          <w:tcPr>
            <w:tcW w:w="1620" w:type="dxa"/>
            <w:vAlign w:val="bottom"/>
          </w:tcPr>
          <w:p>
            <w:pPr>
              <w:spacing w:line="251" w:lineRule="exact"/>
              <w:ind w:right="10"/>
              <w:jc w:val="right"/>
              <w:rPr>
                <w:rFonts w:ascii="仿宋" w:hAnsi="仿宋" w:eastAsia="仿宋"/>
                <w:sz w:val="20"/>
                <w:szCs w:val="20"/>
              </w:rPr>
            </w:pPr>
            <w:r>
              <w:rPr>
                <w:rFonts w:ascii="仿宋" w:hAnsi="仿宋" w:eastAsia="仿宋" w:cs="宋体"/>
              </w:rPr>
              <w:t>公开03表</w:t>
            </w:r>
          </w:p>
        </w:tc>
        <w:tc>
          <w:tcPr>
            <w:tcW w:w="20" w:type="dxa"/>
            <w:vAlign w:val="bottom"/>
          </w:tcPr>
          <w:p>
            <w:pPr>
              <w:rPr>
                <w:rFonts w:ascii="仿宋" w:hAnsi="仿宋" w:eastAsia="仿宋"/>
                <w:sz w:val="1"/>
                <w:szCs w:val="1"/>
              </w:rPr>
            </w:pPr>
          </w:p>
        </w:tc>
      </w:tr>
      <w:tr>
        <w:tblPrEx>
          <w:tblCellMar>
            <w:top w:w="0" w:type="dxa"/>
            <w:left w:w="0" w:type="dxa"/>
            <w:bottom w:w="0" w:type="dxa"/>
            <w:right w:w="0" w:type="dxa"/>
          </w:tblCellMar>
        </w:tblPrEx>
        <w:trPr>
          <w:trHeight w:val="286" w:hRule="atLeast"/>
        </w:trPr>
        <w:tc>
          <w:tcPr>
            <w:tcW w:w="4460" w:type="dxa"/>
            <w:gridSpan w:val="2"/>
            <w:vAlign w:val="bottom"/>
          </w:tcPr>
          <w:p>
            <w:pPr>
              <w:spacing w:line="251" w:lineRule="exact"/>
              <w:ind w:left="100"/>
              <w:rPr>
                <w:rFonts w:ascii="仿宋" w:hAnsi="仿宋" w:eastAsia="仿宋"/>
                <w:sz w:val="20"/>
                <w:szCs w:val="20"/>
              </w:rPr>
            </w:pPr>
            <w:r>
              <w:rPr>
                <w:rFonts w:ascii="仿宋" w:hAnsi="仿宋" w:eastAsia="仿宋" w:cs="宋体"/>
              </w:rPr>
              <w:t>部门：国家统计局</w:t>
            </w:r>
            <w:r>
              <w:rPr>
                <w:rFonts w:hint="eastAsia" w:ascii="仿宋" w:hAnsi="仿宋" w:eastAsia="仿宋" w:cs="宋体"/>
              </w:rPr>
              <w:t>山西调查总队</w:t>
            </w:r>
          </w:p>
        </w:tc>
        <w:tc>
          <w:tcPr>
            <w:tcW w:w="1620" w:type="dxa"/>
            <w:vAlign w:val="bottom"/>
          </w:tcPr>
          <w:p>
            <w:pPr>
              <w:rPr>
                <w:rFonts w:ascii="仿宋" w:hAnsi="仿宋" w:eastAsia="仿宋"/>
                <w:sz w:val="24"/>
                <w:szCs w:val="24"/>
              </w:rPr>
            </w:pPr>
          </w:p>
        </w:tc>
        <w:tc>
          <w:tcPr>
            <w:tcW w:w="1660" w:type="dxa"/>
            <w:vAlign w:val="bottom"/>
          </w:tcPr>
          <w:p>
            <w:pPr>
              <w:rPr>
                <w:rFonts w:ascii="仿宋" w:hAnsi="仿宋" w:eastAsia="仿宋"/>
                <w:sz w:val="24"/>
                <w:szCs w:val="24"/>
              </w:rPr>
            </w:pPr>
          </w:p>
        </w:tc>
        <w:tc>
          <w:tcPr>
            <w:tcW w:w="1680" w:type="dxa"/>
            <w:vAlign w:val="bottom"/>
          </w:tcPr>
          <w:p>
            <w:pPr>
              <w:rPr>
                <w:rFonts w:ascii="仿宋" w:hAnsi="仿宋" w:eastAsia="仿宋"/>
                <w:sz w:val="24"/>
                <w:szCs w:val="24"/>
              </w:rPr>
            </w:pPr>
          </w:p>
        </w:tc>
        <w:tc>
          <w:tcPr>
            <w:tcW w:w="1400" w:type="dxa"/>
            <w:vAlign w:val="bottom"/>
          </w:tcPr>
          <w:p>
            <w:pPr>
              <w:rPr>
                <w:rFonts w:ascii="仿宋" w:hAnsi="仿宋" w:eastAsia="仿宋"/>
                <w:sz w:val="24"/>
                <w:szCs w:val="24"/>
              </w:rPr>
            </w:pPr>
          </w:p>
        </w:tc>
        <w:tc>
          <w:tcPr>
            <w:tcW w:w="1460" w:type="dxa"/>
            <w:vAlign w:val="bottom"/>
          </w:tcPr>
          <w:p>
            <w:pPr>
              <w:rPr>
                <w:rFonts w:ascii="仿宋" w:hAnsi="仿宋" w:eastAsia="仿宋"/>
                <w:sz w:val="24"/>
                <w:szCs w:val="24"/>
              </w:rPr>
            </w:pPr>
          </w:p>
        </w:tc>
        <w:tc>
          <w:tcPr>
            <w:tcW w:w="1720" w:type="dxa"/>
            <w:gridSpan w:val="2"/>
            <w:vAlign w:val="bottom"/>
          </w:tcPr>
          <w:p>
            <w:pPr>
              <w:spacing w:line="251" w:lineRule="exact"/>
              <w:ind w:right="10"/>
              <w:jc w:val="right"/>
              <w:rPr>
                <w:rFonts w:ascii="仿宋" w:hAnsi="仿宋" w:eastAsia="仿宋"/>
                <w:sz w:val="20"/>
                <w:szCs w:val="20"/>
              </w:rPr>
            </w:pPr>
            <w:r>
              <w:rPr>
                <w:rFonts w:ascii="仿宋" w:hAnsi="仿宋" w:eastAsia="仿宋" w:cs="宋体"/>
              </w:rPr>
              <w:t>金额单位：万元</w:t>
            </w:r>
          </w:p>
        </w:tc>
        <w:tc>
          <w:tcPr>
            <w:tcW w:w="20" w:type="dxa"/>
            <w:vAlign w:val="bottom"/>
          </w:tcPr>
          <w:p>
            <w:pPr>
              <w:rPr>
                <w:rFonts w:ascii="仿宋" w:hAnsi="仿宋" w:eastAsia="仿宋"/>
                <w:sz w:val="1"/>
                <w:szCs w:val="1"/>
              </w:rPr>
            </w:pPr>
          </w:p>
        </w:tc>
      </w:tr>
    </w:tbl>
    <w:p>
      <w:pPr>
        <w:spacing w:line="139" w:lineRule="exact"/>
        <w:rPr>
          <w:rFonts w:ascii="仿宋" w:hAnsi="仿宋" w:eastAsia="仿宋"/>
          <w:sz w:val="20"/>
          <w:szCs w:val="20"/>
        </w:rPr>
      </w:pPr>
    </w:p>
    <w:tbl>
      <w:tblPr>
        <w:tblStyle w:val="4"/>
        <w:tblW w:w="13907" w:type="dxa"/>
        <w:tblInd w:w="0" w:type="dxa"/>
        <w:tblLayout w:type="autofit"/>
        <w:tblCellMar>
          <w:top w:w="15" w:type="dxa"/>
          <w:left w:w="15" w:type="dxa"/>
          <w:bottom w:w="15" w:type="dxa"/>
          <w:right w:w="15" w:type="dxa"/>
        </w:tblCellMar>
      </w:tblPr>
      <w:tblGrid>
        <w:gridCol w:w="582"/>
        <w:gridCol w:w="851"/>
        <w:gridCol w:w="584"/>
        <w:gridCol w:w="3032"/>
        <w:gridCol w:w="1520"/>
        <w:gridCol w:w="1526"/>
        <w:gridCol w:w="1418"/>
        <w:gridCol w:w="1701"/>
        <w:gridCol w:w="1275"/>
        <w:gridCol w:w="1418"/>
      </w:tblGrid>
      <w:tr>
        <w:tblPrEx>
          <w:tblCellMar>
            <w:top w:w="15" w:type="dxa"/>
            <w:left w:w="15" w:type="dxa"/>
            <w:bottom w:w="15" w:type="dxa"/>
            <w:right w:w="15" w:type="dxa"/>
          </w:tblCellMar>
        </w:tblPrEx>
        <w:trPr>
          <w:trHeight w:val="300" w:hRule="atLeast"/>
        </w:trPr>
        <w:tc>
          <w:tcPr>
            <w:tcW w:w="2017"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科目编码</w:t>
            </w:r>
          </w:p>
        </w:tc>
        <w:tc>
          <w:tcPr>
            <w:tcW w:w="3032"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科目名称</w:t>
            </w:r>
          </w:p>
        </w:tc>
        <w:tc>
          <w:tcPr>
            <w:tcW w:w="1520"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本年支出合计</w:t>
            </w:r>
          </w:p>
        </w:tc>
        <w:tc>
          <w:tcPr>
            <w:tcW w:w="1526"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基本支出</w:t>
            </w:r>
          </w:p>
        </w:tc>
        <w:tc>
          <w:tcPr>
            <w:tcW w:w="1418"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项目支出</w:t>
            </w:r>
          </w:p>
        </w:tc>
        <w:tc>
          <w:tcPr>
            <w:tcW w:w="1701"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上缴上级支出</w:t>
            </w:r>
          </w:p>
        </w:tc>
        <w:tc>
          <w:tcPr>
            <w:tcW w:w="1275"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经营支出</w:t>
            </w:r>
          </w:p>
        </w:tc>
        <w:tc>
          <w:tcPr>
            <w:tcW w:w="1418"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对附属单位补助支出</w:t>
            </w:r>
          </w:p>
        </w:tc>
      </w:tr>
      <w:tr>
        <w:tblPrEx>
          <w:tblCellMar>
            <w:top w:w="15" w:type="dxa"/>
            <w:left w:w="15" w:type="dxa"/>
            <w:bottom w:w="15" w:type="dxa"/>
            <w:right w:w="15"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Arial"/>
              </w:rPr>
            </w:pPr>
          </w:p>
        </w:tc>
        <w:tc>
          <w:tcPr>
            <w:tcW w:w="0" w:type="auto"/>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0" w:type="auto"/>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526"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418"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701"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275"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1418"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r>
      <w:tr>
        <w:tblPrEx>
          <w:tblCellMar>
            <w:top w:w="15" w:type="dxa"/>
            <w:left w:w="15" w:type="dxa"/>
            <w:bottom w:w="15" w:type="dxa"/>
            <w:right w:w="15" w:type="dxa"/>
          </w:tblCellMar>
        </w:tblPrEx>
        <w:trPr>
          <w:trHeight w:val="375" w:hRule="atLeast"/>
        </w:trPr>
        <w:tc>
          <w:tcPr>
            <w:tcW w:w="582" w:type="dxa"/>
            <w:vMerge w:val="restart"/>
            <w:tcBorders>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类</w:t>
            </w:r>
          </w:p>
        </w:tc>
        <w:tc>
          <w:tcPr>
            <w:tcW w:w="851"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款</w:t>
            </w:r>
          </w:p>
        </w:tc>
        <w:tc>
          <w:tcPr>
            <w:tcW w:w="584"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项</w:t>
            </w:r>
          </w:p>
        </w:tc>
        <w:tc>
          <w:tcPr>
            <w:tcW w:w="3032"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栏次</w:t>
            </w:r>
          </w:p>
        </w:tc>
        <w:tc>
          <w:tcPr>
            <w:tcW w:w="1520"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w:t>
            </w:r>
          </w:p>
        </w:tc>
        <w:tc>
          <w:tcPr>
            <w:tcW w:w="152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2</w:t>
            </w:r>
          </w:p>
        </w:tc>
        <w:tc>
          <w:tcPr>
            <w:tcW w:w="1418"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3</w:t>
            </w:r>
          </w:p>
        </w:tc>
        <w:tc>
          <w:tcPr>
            <w:tcW w:w="1701"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4</w:t>
            </w:r>
          </w:p>
        </w:tc>
        <w:tc>
          <w:tcPr>
            <w:tcW w:w="1275"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5</w:t>
            </w:r>
          </w:p>
        </w:tc>
        <w:tc>
          <w:tcPr>
            <w:tcW w:w="1418"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6</w:t>
            </w:r>
          </w:p>
        </w:tc>
      </w:tr>
      <w:tr>
        <w:tblPrEx>
          <w:tblCellMar>
            <w:top w:w="15" w:type="dxa"/>
            <w:left w:w="15" w:type="dxa"/>
            <w:bottom w:w="15" w:type="dxa"/>
            <w:right w:w="15" w:type="dxa"/>
          </w:tblCellMar>
        </w:tblPrEx>
        <w:trPr>
          <w:trHeight w:val="375" w:hRule="atLeast"/>
        </w:trPr>
        <w:tc>
          <w:tcPr>
            <w:tcW w:w="582" w:type="dxa"/>
            <w:vMerge w:val="continue"/>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p>
        </w:tc>
        <w:tc>
          <w:tcPr>
            <w:tcW w:w="851"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584"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3032"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合计</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17,378.08</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10,106.69</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7,271.40</w:t>
            </w: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201</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一般公共服务支出</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14,835.50</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7,564.10</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7,271.40</w:t>
            </w: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20105</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统计信息事务</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14,835.50</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7,564.10</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7,271.40</w:t>
            </w: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2010501</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行政运行</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7,564.10</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7,564.10</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2010502</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一般行政管理事务</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132.96</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132.96</w:t>
            </w: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2010505</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专项统计业务</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191.00</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191.00</w:t>
            </w: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w:t>
            </w:r>
            <w:r>
              <w:rPr>
                <w:rFonts w:ascii="仿宋" w:hAnsi="仿宋" w:eastAsia="仿宋" w:cs="Arial"/>
                <w:sz w:val="18"/>
                <w:szCs w:val="18"/>
              </w:rPr>
              <w:t>010506</w:t>
            </w:r>
          </w:p>
        </w:tc>
        <w:tc>
          <w:tcPr>
            <w:tcW w:w="3032" w:type="dxa"/>
            <w:tcBorders>
              <w:bottom w:val="single" w:color="000000" w:sz="4" w:space="0"/>
              <w:right w:val="single" w:color="000000" w:sz="4" w:space="0"/>
            </w:tcBorders>
            <w:vAlign w:val="center"/>
          </w:tcPr>
          <w:p>
            <w:pPr>
              <w:ind w:firstLine="180" w:firstLineChars="100"/>
              <w:rPr>
                <w:rFonts w:ascii="仿宋" w:hAnsi="仿宋" w:eastAsia="仿宋" w:cs="Arial"/>
                <w:sz w:val="18"/>
                <w:szCs w:val="18"/>
              </w:rPr>
            </w:pPr>
            <w:r>
              <w:rPr>
                <w:rFonts w:hint="eastAsia" w:ascii="仿宋" w:hAnsi="仿宋" w:eastAsia="仿宋" w:cs="Arial"/>
                <w:sz w:val="18"/>
                <w:szCs w:val="18"/>
              </w:rPr>
              <w:t>统计管理</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36.00</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36.00</w:t>
            </w: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2010508</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统计抽样调查</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6,911.43</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6,911.43</w:t>
            </w: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208</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社会保障和就业支出</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1,335.17</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1,335.17</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20805</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行政事业单位养老支出</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1,335.17</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1,335.17</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2080505</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机关事业单位基本养老保险缴费支出</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902.59</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902.59</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2080506</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机关事业单位职业年金缴费支出</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432.58</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432.58</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73"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210</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卫生健康支出</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63"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21011</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行政事业单位医疗</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81"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2101101</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行政单位医疗</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58"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221</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住房保障支出</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817.38</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817.38</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97"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22102</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住房改革支出</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817.38</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817.38</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90"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2210201</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住房公积金</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713.90</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713.90</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33" w:hRule="atLeast"/>
        </w:trPr>
        <w:tc>
          <w:tcPr>
            <w:tcW w:w="2017"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2210203</w:t>
            </w:r>
          </w:p>
        </w:tc>
        <w:tc>
          <w:tcPr>
            <w:tcW w:w="303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购房补贴</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103.48</w:t>
            </w:r>
          </w:p>
        </w:tc>
        <w:tc>
          <w:tcPr>
            <w:tcW w:w="152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103.48</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bl>
    <w:p>
      <w:pPr>
        <w:spacing w:line="200" w:lineRule="exact"/>
        <w:rPr>
          <w:rFonts w:ascii="仿宋" w:hAnsi="仿宋" w:eastAsia="仿宋"/>
          <w:sz w:val="20"/>
          <w:szCs w:val="20"/>
        </w:rPr>
      </w:pPr>
      <w:bookmarkStart w:id="9" w:name="page13"/>
      <w:bookmarkEnd w:id="9"/>
      <w:bookmarkStart w:id="10" w:name="page14"/>
      <w:bookmarkEnd w:id="10"/>
    </w:p>
    <w:p>
      <w:pPr>
        <w:spacing w:line="320" w:lineRule="exact"/>
        <w:ind w:right="258"/>
        <w:jc w:val="center"/>
        <w:rPr>
          <w:rFonts w:ascii="宋体" w:hAnsi="宋体" w:eastAsia="宋体" w:cs="宋体"/>
          <w:b/>
          <w:bCs/>
          <w:sz w:val="28"/>
          <w:szCs w:val="28"/>
        </w:rPr>
      </w:pPr>
      <w:bookmarkStart w:id="11" w:name="page15"/>
      <w:bookmarkEnd w:id="11"/>
    </w:p>
    <w:p>
      <w:pPr>
        <w:spacing w:line="320" w:lineRule="exact"/>
        <w:ind w:right="258"/>
        <w:jc w:val="center"/>
        <w:rPr>
          <w:rFonts w:ascii="黑体" w:hAnsi="黑体" w:eastAsia="黑体" w:cs="宋体"/>
          <w:b/>
          <w:bCs/>
          <w:sz w:val="28"/>
          <w:szCs w:val="28"/>
        </w:rPr>
      </w:pPr>
      <w:r>
        <w:rPr>
          <w:rFonts w:ascii="黑体" w:hAnsi="黑体" w:eastAsia="黑体" w:cs="宋体"/>
          <w:b/>
          <w:bCs/>
          <w:sz w:val="28"/>
          <w:szCs w:val="28"/>
        </w:rPr>
        <w:t>财政拨款收入支出决算总表</w:t>
      </w:r>
    </w:p>
    <w:tbl>
      <w:tblPr>
        <w:tblStyle w:val="4"/>
        <w:tblW w:w="0" w:type="auto"/>
        <w:tblInd w:w="550" w:type="dxa"/>
        <w:tblLayout w:type="fixed"/>
        <w:tblCellMar>
          <w:top w:w="0" w:type="dxa"/>
          <w:left w:w="0" w:type="dxa"/>
          <w:bottom w:w="0" w:type="dxa"/>
          <w:right w:w="0" w:type="dxa"/>
        </w:tblCellMar>
      </w:tblPr>
      <w:tblGrid>
        <w:gridCol w:w="1600"/>
        <w:gridCol w:w="4080"/>
        <w:gridCol w:w="2560"/>
        <w:gridCol w:w="2320"/>
        <w:gridCol w:w="2360"/>
        <w:gridCol w:w="20"/>
      </w:tblGrid>
      <w:tr>
        <w:tblPrEx>
          <w:tblCellMar>
            <w:top w:w="0" w:type="dxa"/>
            <w:left w:w="0" w:type="dxa"/>
            <w:bottom w:w="0" w:type="dxa"/>
            <w:right w:w="0" w:type="dxa"/>
          </w:tblCellMar>
        </w:tblPrEx>
        <w:trPr>
          <w:trHeight w:val="251" w:hRule="atLeast"/>
        </w:trPr>
        <w:tc>
          <w:tcPr>
            <w:tcW w:w="1600" w:type="dxa"/>
            <w:vAlign w:val="bottom"/>
          </w:tcPr>
          <w:p>
            <w:pPr>
              <w:rPr>
                <w:rFonts w:ascii="仿宋" w:hAnsi="仿宋" w:eastAsia="仿宋"/>
                <w:sz w:val="21"/>
                <w:szCs w:val="21"/>
              </w:rPr>
            </w:pPr>
          </w:p>
        </w:tc>
        <w:tc>
          <w:tcPr>
            <w:tcW w:w="4080" w:type="dxa"/>
            <w:vAlign w:val="bottom"/>
          </w:tcPr>
          <w:p>
            <w:pPr>
              <w:rPr>
                <w:rFonts w:ascii="仿宋" w:hAnsi="仿宋" w:eastAsia="仿宋"/>
                <w:sz w:val="21"/>
                <w:szCs w:val="21"/>
              </w:rPr>
            </w:pPr>
          </w:p>
        </w:tc>
        <w:tc>
          <w:tcPr>
            <w:tcW w:w="2560" w:type="dxa"/>
            <w:vAlign w:val="bottom"/>
          </w:tcPr>
          <w:p>
            <w:pPr>
              <w:rPr>
                <w:rFonts w:ascii="仿宋" w:hAnsi="仿宋" w:eastAsia="仿宋"/>
                <w:sz w:val="21"/>
                <w:szCs w:val="21"/>
              </w:rPr>
            </w:pPr>
          </w:p>
        </w:tc>
        <w:tc>
          <w:tcPr>
            <w:tcW w:w="2320" w:type="dxa"/>
            <w:vAlign w:val="bottom"/>
          </w:tcPr>
          <w:p>
            <w:pPr>
              <w:rPr>
                <w:rFonts w:ascii="仿宋" w:hAnsi="仿宋" w:eastAsia="仿宋"/>
                <w:sz w:val="21"/>
                <w:szCs w:val="21"/>
              </w:rPr>
            </w:pPr>
          </w:p>
        </w:tc>
        <w:tc>
          <w:tcPr>
            <w:tcW w:w="2360" w:type="dxa"/>
            <w:vAlign w:val="bottom"/>
          </w:tcPr>
          <w:p>
            <w:pPr>
              <w:spacing w:line="251" w:lineRule="exact"/>
              <w:ind w:right="10"/>
              <w:jc w:val="right"/>
              <w:rPr>
                <w:rFonts w:ascii="仿宋" w:hAnsi="仿宋" w:eastAsia="仿宋"/>
                <w:sz w:val="20"/>
                <w:szCs w:val="20"/>
              </w:rPr>
            </w:pPr>
            <w:r>
              <w:rPr>
                <w:rFonts w:ascii="仿宋" w:hAnsi="仿宋" w:eastAsia="仿宋" w:cs="宋体"/>
              </w:rPr>
              <w:t>公开04表</w:t>
            </w:r>
          </w:p>
        </w:tc>
        <w:tc>
          <w:tcPr>
            <w:tcW w:w="0" w:type="dxa"/>
            <w:vAlign w:val="bottom"/>
          </w:tcPr>
          <w:p>
            <w:pPr>
              <w:rPr>
                <w:rFonts w:ascii="仿宋" w:hAnsi="仿宋" w:eastAsia="仿宋"/>
                <w:sz w:val="1"/>
                <w:szCs w:val="1"/>
              </w:rPr>
            </w:pPr>
          </w:p>
        </w:tc>
      </w:tr>
      <w:tr>
        <w:tblPrEx>
          <w:tblCellMar>
            <w:top w:w="0" w:type="dxa"/>
            <w:left w:w="0" w:type="dxa"/>
            <w:bottom w:w="0" w:type="dxa"/>
            <w:right w:w="0" w:type="dxa"/>
          </w:tblCellMar>
        </w:tblPrEx>
        <w:trPr>
          <w:trHeight w:val="286" w:hRule="atLeast"/>
        </w:trPr>
        <w:tc>
          <w:tcPr>
            <w:tcW w:w="5680" w:type="dxa"/>
            <w:gridSpan w:val="2"/>
            <w:vAlign w:val="bottom"/>
          </w:tcPr>
          <w:p>
            <w:pPr>
              <w:spacing w:line="251" w:lineRule="exact"/>
              <w:ind w:left="100"/>
              <w:rPr>
                <w:rFonts w:ascii="仿宋" w:hAnsi="仿宋" w:eastAsia="仿宋"/>
                <w:sz w:val="20"/>
                <w:szCs w:val="20"/>
              </w:rPr>
            </w:pPr>
            <w:r>
              <w:rPr>
                <w:rFonts w:ascii="仿宋" w:hAnsi="仿宋" w:eastAsia="仿宋" w:cs="宋体"/>
              </w:rPr>
              <w:t>部门：国家统计局</w:t>
            </w:r>
            <w:r>
              <w:rPr>
                <w:rFonts w:hint="eastAsia" w:ascii="仿宋" w:hAnsi="仿宋" w:eastAsia="仿宋" w:cs="宋体"/>
              </w:rPr>
              <w:t>山西调查总队</w:t>
            </w:r>
          </w:p>
        </w:tc>
        <w:tc>
          <w:tcPr>
            <w:tcW w:w="2560" w:type="dxa"/>
            <w:vAlign w:val="bottom"/>
          </w:tcPr>
          <w:p>
            <w:pPr>
              <w:rPr>
                <w:rFonts w:ascii="仿宋" w:hAnsi="仿宋" w:eastAsia="仿宋"/>
                <w:sz w:val="24"/>
                <w:szCs w:val="24"/>
              </w:rPr>
            </w:pPr>
          </w:p>
        </w:tc>
        <w:tc>
          <w:tcPr>
            <w:tcW w:w="2320" w:type="dxa"/>
            <w:vAlign w:val="bottom"/>
          </w:tcPr>
          <w:p>
            <w:pPr>
              <w:rPr>
                <w:rFonts w:ascii="仿宋" w:hAnsi="仿宋" w:eastAsia="仿宋"/>
                <w:sz w:val="24"/>
                <w:szCs w:val="24"/>
              </w:rPr>
            </w:pPr>
          </w:p>
        </w:tc>
        <w:tc>
          <w:tcPr>
            <w:tcW w:w="2360" w:type="dxa"/>
            <w:vAlign w:val="bottom"/>
          </w:tcPr>
          <w:p>
            <w:pPr>
              <w:spacing w:line="251" w:lineRule="exact"/>
              <w:ind w:right="10"/>
              <w:jc w:val="right"/>
              <w:rPr>
                <w:rFonts w:ascii="仿宋" w:hAnsi="仿宋" w:eastAsia="仿宋"/>
                <w:sz w:val="20"/>
                <w:szCs w:val="20"/>
              </w:rPr>
            </w:pPr>
            <w:r>
              <w:rPr>
                <w:rFonts w:ascii="仿宋" w:hAnsi="仿宋" w:eastAsia="仿宋" w:cs="宋体"/>
              </w:rPr>
              <w:t>金额单位：万元</w:t>
            </w:r>
          </w:p>
        </w:tc>
        <w:tc>
          <w:tcPr>
            <w:tcW w:w="0" w:type="dxa"/>
            <w:vAlign w:val="bottom"/>
          </w:tcPr>
          <w:p>
            <w:pPr>
              <w:rPr>
                <w:rFonts w:ascii="仿宋" w:hAnsi="仿宋" w:eastAsia="仿宋"/>
                <w:sz w:val="1"/>
                <w:szCs w:val="1"/>
              </w:rPr>
            </w:pPr>
          </w:p>
        </w:tc>
      </w:tr>
    </w:tbl>
    <w:p>
      <w:pPr>
        <w:spacing w:line="271" w:lineRule="exact"/>
        <w:rPr>
          <w:rFonts w:ascii="仿宋" w:hAnsi="仿宋" w:eastAsia="仿宋"/>
          <w:sz w:val="20"/>
          <w:szCs w:val="20"/>
        </w:rPr>
      </w:pPr>
    </w:p>
    <w:tbl>
      <w:tblPr>
        <w:tblStyle w:val="4"/>
        <w:tblW w:w="13340" w:type="dxa"/>
        <w:tblInd w:w="0" w:type="dxa"/>
        <w:tblLayout w:type="autofit"/>
        <w:tblCellMar>
          <w:top w:w="15" w:type="dxa"/>
          <w:left w:w="15" w:type="dxa"/>
          <w:bottom w:w="15" w:type="dxa"/>
          <w:right w:w="15" w:type="dxa"/>
        </w:tblCellMar>
      </w:tblPr>
      <w:tblGrid>
        <w:gridCol w:w="2344"/>
        <w:gridCol w:w="506"/>
        <w:gridCol w:w="1843"/>
        <w:gridCol w:w="2428"/>
        <w:gridCol w:w="549"/>
        <w:gridCol w:w="1417"/>
        <w:gridCol w:w="1418"/>
        <w:gridCol w:w="1276"/>
        <w:gridCol w:w="1559"/>
      </w:tblGrid>
      <w:tr>
        <w:tblPrEx>
          <w:tblCellMar>
            <w:top w:w="15" w:type="dxa"/>
            <w:left w:w="15" w:type="dxa"/>
            <w:bottom w:w="15" w:type="dxa"/>
            <w:right w:w="15" w:type="dxa"/>
          </w:tblCellMar>
        </w:tblPrEx>
        <w:trPr>
          <w:trHeight w:val="375" w:hRule="atLeast"/>
        </w:trPr>
        <w:tc>
          <w:tcPr>
            <w:tcW w:w="469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收     入</w:t>
            </w:r>
          </w:p>
        </w:tc>
        <w:tc>
          <w:tcPr>
            <w:tcW w:w="8647" w:type="dxa"/>
            <w:gridSpan w:val="6"/>
            <w:tcBorders>
              <w:top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支     出</w:t>
            </w:r>
          </w:p>
        </w:tc>
      </w:tr>
      <w:tr>
        <w:tblPrEx>
          <w:tblCellMar>
            <w:top w:w="15" w:type="dxa"/>
            <w:left w:w="15" w:type="dxa"/>
            <w:bottom w:w="15" w:type="dxa"/>
            <w:right w:w="15" w:type="dxa"/>
          </w:tblCellMar>
        </w:tblPrEx>
        <w:trPr>
          <w:trHeight w:val="288" w:hRule="atLeast"/>
        </w:trPr>
        <w:tc>
          <w:tcPr>
            <w:tcW w:w="2344" w:type="dxa"/>
            <w:vMerge w:val="restart"/>
            <w:tcBorders>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项目</w:t>
            </w:r>
          </w:p>
        </w:tc>
        <w:tc>
          <w:tcPr>
            <w:tcW w:w="506"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行次</w:t>
            </w:r>
          </w:p>
        </w:tc>
        <w:tc>
          <w:tcPr>
            <w:tcW w:w="1843"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金额</w:t>
            </w:r>
          </w:p>
        </w:tc>
        <w:tc>
          <w:tcPr>
            <w:tcW w:w="2428"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项目</w:t>
            </w:r>
          </w:p>
        </w:tc>
        <w:tc>
          <w:tcPr>
            <w:tcW w:w="549"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行次</w:t>
            </w:r>
          </w:p>
        </w:tc>
        <w:tc>
          <w:tcPr>
            <w:tcW w:w="1417"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合计</w:t>
            </w:r>
          </w:p>
        </w:tc>
        <w:tc>
          <w:tcPr>
            <w:tcW w:w="1418"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一般公共预算财政拨款</w:t>
            </w:r>
          </w:p>
        </w:tc>
        <w:tc>
          <w:tcPr>
            <w:tcW w:w="1276"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政府性基金预算财政拨款</w:t>
            </w:r>
          </w:p>
        </w:tc>
        <w:tc>
          <w:tcPr>
            <w:tcW w:w="1559"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国有资本经营预算财政拨款</w:t>
            </w:r>
          </w:p>
        </w:tc>
      </w:tr>
      <w:tr>
        <w:tblPrEx>
          <w:tblCellMar>
            <w:top w:w="15" w:type="dxa"/>
            <w:left w:w="15" w:type="dxa"/>
            <w:bottom w:w="15" w:type="dxa"/>
            <w:right w:w="15" w:type="dxa"/>
          </w:tblCellMar>
        </w:tblPrEx>
        <w:trPr>
          <w:trHeight w:val="612" w:hRule="atLeast"/>
        </w:trPr>
        <w:tc>
          <w:tcPr>
            <w:tcW w:w="0" w:type="auto"/>
            <w:vMerge w:val="continue"/>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p>
        </w:tc>
        <w:tc>
          <w:tcPr>
            <w:tcW w:w="506"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1843"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2428"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549"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1417"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1418"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1276"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1559"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栏次</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p>
        </w:tc>
        <w:tc>
          <w:tcPr>
            <w:tcW w:w="1843"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w:t>
            </w:r>
          </w:p>
        </w:tc>
        <w:tc>
          <w:tcPr>
            <w:tcW w:w="2428"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栏次</w:t>
            </w:r>
          </w:p>
        </w:tc>
        <w:tc>
          <w:tcPr>
            <w:tcW w:w="549" w:type="dxa"/>
            <w:tcBorders>
              <w:bottom w:val="single" w:color="000000" w:sz="4" w:space="0"/>
              <w:right w:val="single" w:color="000000" w:sz="4" w:space="0"/>
            </w:tcBorders>
            <w:vAlign w:val="center"/>
          </w:tcPr>
          <w:p>
            <w:pPr>
              <w:jc w:val="center"/>
              <w:rPr>
                <w:rFonts w:ascii="仿宋" w:hAnsi="仿宋" w:eastAsia="仿宋" w:cs="Arial"/>
                <w:sz w:val="18"/>
                <w:szCs w:val="18"/>
              </w:rPr>
            </w:pPr>
          </w:p>
        </w:tc>
        <w:tc>
          <w:tcPr>
            <w:tcW w:w="1417"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2</w:t>
            </w:r>
          </w:p>
        </w:tc>
        <w:tc>
          <w:tcPr>
            <w:tcW w:w="1418"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3</w:t>
            </w:r>
          </w:p>
        </w:tc>
        <w:tc>
          <w:tcPr>
            <w:tcW w:w="127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4</w:t>
            </w:r>
          </w:p>
        </w:tc>
        <w:tc>
          <w:tcPr>
            <w:tcW w:w="1559"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5</w:t>
            </w: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一、一般公共预算财政拨款</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w:t>
            </w:r>
          </w:p>
        </w:tc>
        <w:tc>
          <w:tcPr>
            <w:tcW w:w="1843" w:type="dxa"/>
            <w:tcBorders>
              <w:bottom w:val="single" w:color="000000" w:sz="4" w:space="0"/>
              <w:right w:val="single" w:color="000000" w:sz="4" w:space="0"/>
            </w:tcBorders>
            <w:vAlign w:val="center"/>
          </w:tcPr>
          <w:p>
            <w:pPr>
              <w:jc w:val="right"/>
              <w:rPr>
                <w:rFonts w:ascii="仿宋" w:hAnsi="仿宋" w:eastAsia="仿宋" w:cs="Arial"/>
                <w:sz w:val="18"/>
                <w:szCs w:val="18"/>
              </w:rPr>
            </w:pPr>
            <w:r>
              <w:rPr>
                <w:rFonts w:ascii="仿宋" w:hAnsi="仿宋" w:eastAsia="仿宋" w:cs="Arial"/>
                <w:sz w:val="18"/>
                <w:szCs w:val="18"/>
              </w:rPr>
              <w:t>12322.67</w:t>
            </w:r>
          </w:p>
        </w:tc>
        <w:tc>
          <w:tcPr>
            <w:tcW w:w="242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一、一般公共服务支出</w:t>
            </w:r>
          </w:p>
        </w:tc>
        <w:tc>
          <w:tcPr>
            <w:tcW w:w="549"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13</w:t>
            </w:r>
          </w:p>
        </w:tc>
        <w:tc>
          <w:tcPr>
            <w:tcW w:w="1417"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9,287.37</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9,287.37</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二、政府性基金预算财政拨款</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2</w:t>
            </w:r>
          </w:p>
        </w:tc>
        <w:tc>
          <w:tcPr>
            <w:tcW w:w="1843"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242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二、外交支出</w:t>
            </w:r>
          </w:p>
        </w:tc>
        <w:tc>
          <w:tcPr>
            <w:tcW w:w="549"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14</w:t>
            </w:r>
          </w:p>
        </w:tc>
        <w:tc>
          <w:tcPr>
            <w:tcW w:w="1417"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1418"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1276"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1559" w:type="dxa"/>
            <w:tcBorders>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14.2三、国有资本经营财政拨款</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3</w:t>
            </w:r>
          </w:p>
        </w:tc>
        <w:tc>
          <w:tcPr>
            <w:tcW w:w="1843"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242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三、科学技术支出</w:t>
            </w:r>
          </w:p>
        </w:tc>
        <w:tc>
          <w:tcPr>
            <w:tcW w:w="549"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15</w:t>
            </w:r>
          </w:p>
        </w:tc>
        <w:tc>
          <w:tcPr>
            <w:tcW w:w="1417"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1418"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1276"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1559" w:type="dxa"/>
            <w:tcBorders>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4</w:t>
            </w:r>
          </w:p>
        </w:tc>
        <w:tc>
          <w:tcPr>
            <w:tcW w:w="1843" w:type="dxa"/>
            <w:tcBorders>
              <w:bottom w:val="single" w:color="000000" w:sz="4" w:space="0"/>
              <w:right w:val="single" w:color="000000" w:sz="4" w:space="0"/>
            </w:tcBorders>
            <w:vAlign w:val="center"/>
          </w:tcPr>
          <w:p>
            <w:pPr>
              <w:jc w:val="center"/>
              <w:rPr>
                <w:rFonts w:ascii="仿宋" w:hAnsi="仿宋" w:eastAsia="仿宋" w:cs="Arial"/>
                <w:sz w:val="18"/>
                <w:szCs w:val="18"/>
              </w:rPr>
            </w:pPr>
          </w:p>
        </w:tc>
        <w:tc>
          <w:tcPr>
            <w:tcW w:w="242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四、社会保障和就业支出</w:t>
            </w:r>
          </w:p>
        </w:tc>
        <w:tc>
          <w:tcPr>
            <w:tcW w:w="549"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16</w:t>
            </w:r>
          </w:p>
        </w:tc>
        <w:tc>
          <w:tcPr>
            <w:tcW w:w="1417"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1,335.17</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1,335.17</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5</w:t>
            </w:r>
          </w:p>
        </w:tc>
        <w:tc>
          <w:tcPr>
            <w:tcW w:w="1843" w:type="dxa"/>
            <w:tcBorders>
              <w:bottom w:val="single" w:color="000000" w:sz="4" w:space="0"/>
              <w:right w:val="single" w:color="000000" w:sz="4" w:space="0"/>
            </w:tcBorders>
            <w:vAlign w:val="center"/>
          </w:tcPr>
          <w:p>
            <w:pPr>
              <w:jc w:val="center"/>
              <w:rPr>
                <w:rFonts w:ascii="仿宋" w:hAnsi="仿宋" w:eastAsia="仿宋" w:cs="Arial"/>
                <w:sz w:val="18"/>
                <w:szCs w:val="18"/>
              </w:rPr>
            </w:pPr>
          </w:p>
        </w:tc>
        <w:tc>
          <w:tcPr>
            <w:tcW w:w="2428" w:type="dxa"/>
            <w:tcBorders>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五、卫生健康支出</w:t>
            </w:r>
          </w:p>
        </w:tc>
        <w:tc>
          <w:tcPr>
            <w:tcW w:w="549" w:type="dxa"/>
            <w:tcBorders>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17</w:t>
            </w:r>
          </w:p>
        </w:tc>
        <w:tc>
          <w:tcPr>
            <w:tcW w:w="1417"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390.04</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390.04</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6</w:t>
            </w:r>
          </w:p>
        </w:tc>
        <w:tc>
          <w:tcPr>
            <w:tcW w:w="1843" w:type="dxa"/>
            <w:tcBorders>
              <w:bottom w:val="single" w:color="000000" w:sz="4" w:space="0"/>
            </w:tcBorders>
            <w:vAlign w:val="center"/>
          </w:tcPr>
          <w:p>
            <w:pPr>
              <w:jc w:val="center"/>
              <w:rPr>
                <w:rFonts w:ascii="仿宋" w:hAnsi="仿宋" w:eastAsia="仿宋" w:cs="Arial"/>
                <w:sz w:val="18"/>
                <w:szCs w:val="18"/>
              </w:rPr>
            </w:pPr>
          </w:p>
        </w:tc>
        <w:tc>
          <w:tcPr>
            <w:tcW w:w="242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六、住房保障支出</w:t>
            </w:r>
          </w:p>
        </w:tc>
        <w:tc>
          <w:tcPr>
            <w:tcW w:w="5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18</w:t>
            </w:r>
          </w:p>
        </w:tc>
        <w:tc>
          <w:tcPr>
            <w:tcW w:w="1417"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817.38</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817.38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jc w:val="center"/>
              <w:rPr>
                <w:rFonts w:ascii="仿宋" w:hAnsi="仿宋" w:eastAsia="仿宋" w:cs="Arial"/>
                <w:b/>
                <w:bCs/>
                <w:sz w:val="18"/>
                <w:szCs w:val="18"/>
              </w:rPr>
            </w:pPr>
            <w:r>
              <w:rPr>
                <w:rFonts w:hint="eastAsia" w:ascii="仿宋" w:hAnsi="仿宋" w:eastAsia="仿宋" w:cs="Arial"/>
                <w:b/>
                <w:bCs/>
                <w:sz w:val="18"/>
                <w:szCs w:val="18"/>
              </w:rPr>
              <w:t>本年收入合计</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7</w:t>
            </w:r>
          </w:p>
        </w:tc>
        <w:tc>
          <w:tcPr>
            <w:tcW w:w="1843" w:type="dxa"/>
            <w:tcBorders>
              <w:bottom w:val="single" w:color="000000" w:sz="4" w:space="0"/>
            </w:tcBorders>
            <w:vAlign w:val="center"/>
          </w:tcPr>
          <w:p>
            <w:pPr>
              <w:jc w:val="right"/>
              <w:rPr>
                <w:rFonts w:ascii="仿宋" w:hAnsi="仿宋" w:eastAsia="仿宋" w:cs="Arial"/>
                <w:sz w:val="18"/>
                <w:szCs w:val="18"/>
                <w:lang w:val="en"/>
              </w:rPr>
            </w:pPr>
            <w:r>
              <w:rPr>
                <w:rFonts w:ascii="仿宋" w:hAnsi="仿宋" w:eastAsia="仿宋" w:cs="Arial"/>
                <w:sz w:val="18"/>
                <w:szCs w:val="18"/>
                <w:lang w:val="en"/>
              </w:rPr>
              <w:t>12322.67</w:t>
            </w:r>
          </w:p>
        </w:tc>
        <w:tc>
          <w:tcPr>
            <w:tcW w:w="24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b/>
                <w:bCs/>
                <w:sz w:val="18"/>
                <w:szCs w:val="18"/>
              </w:rPr>
            </w:pPr>
            <w:r>
              <w:rPr>
                <w:rFonts w:hint="eastAsia" w:ascii="仿宋" w:hAnsi="仿宋" w:eastAsia="仿宋" w:cs="Arial"/>
                <w:b/>
                <w:bCs/>
                <w:sz w:val="18"/>
                <w:szCs w:val="18"/>
              </w:rPr>
              <w:t>本年支出合计</w:t>
            </w:r>
          </w:p>
        </w:tc>
        <w:tc>
          <w:tcPr>
            <w:tcW w:w="5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19</w:t>
            </w:r>
          </w:p>
        </w:tc>
        <w:tc>
          <w:tcPr>
            <w:tcW w:w="1417"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11,829.96</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11,829.96</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年初财政拨款结转和结余</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8</w:t>
            </w:r>
          </w:p>
        </w:tc>
        <w:tc>
          <w:tcPr>
            <w:tcW w:w="1843" w:type="dxa"/>
            <w:tcBorders>
              <w:bottom w:val="single" w:color="000000" w:sz="4" w:space="0"/>
            </w:tcBorders>
            <w:vAlign w:val="center"/>
          </w:tcPr>
          <w:p>
            <w:pPr>
              <w:jc w:val="right"/>
              <w:rPr>
                <w:rFonts w:ascii="仿宋" w:hAnsi="仿宋" w:eastAsia="仿宋" w:cs="Arial"/>
                <w:sz w:val="18"/>
                <w:szCs w:val="18"/>
                <w:lang w:val="en"/>
              </w:rPr>
            </w:pPr>
            <w:r>
              <w:rPr>
                <w:rFonts w:ascii="仿宋" w:hAnsi="仿宋" w:eastAsia="仿宋" w:cs="Arial"/>
                <w:sz w:val="18"/>
                <w:szCs w:val="18"/>
                <w:lang w:val="en"/>
              </w:rPr>
              <w:t>351.18</w:t>
            </w:r>
          </w:p>
        </w:tc>
        <w:tc>
          <w:tcPr>
            <w:tcW w:w="242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年末财政拨款结转和结余</w:t>
            </w:r>
          </w:p>
        </w:tc>
        <w:tc>
          <w:tcPr>
            <w:tcW w:w="5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20</w:t>
            </w:r>
          </w:p>
        </w:tc>
        <w:tc>
          <w:tcPr>
            <w:tcW w:w="1417"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843.89</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843.89</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一般公共预算财政拨款</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9</w:t>
            </w:r>
          </w:p>
        </w:tc>
        <w:tc>
          <w:tcPr>
            <w:tcW w:w="1843" w:type="dxa"/>
            <w:tcBorders>
              <w:bottom w:val="single" w:color="000000" w:sz="4" w:space="0"/>
            </w:tcBorders>
            <w:vAlign w:val="center"/>
          </w:tcPr>
          <w:p>
            <w:pPr>
              <w:jc w:val="right"/>
              <w:rPr>
                <w:rFonts w:ascii="仿宋" w:hAnsi="仿宋" w:eastAsia="仿宋" w:cs="Arial"/>
                <w:sz w:val="18"/>
                <w:szCs w:val="18"/>
                <w:lang w:val="en"/>
              </w:rPr>
            </w:pPr>
            <w:r>
              <w:rPr>
                <w:rFonts w:ascii="仿宋" w:hAnsi="仿宋" w:eastAsia="仿宋" w:cs="Arial"/>
                <w:sz w:val="18"/>
                <w:szCs w:val="18"/>
                <w:lang w:val="en"/>
              </w:rPr>
              <w:t>351.18</w:t>
            </w:r>
          </w:p>
        </w:tc>
        <w:tc>
          <w:tcPr>
            <w:tcW w:w="2428" w:type="dxa"/>
            <w:tcBorders>
              <w:top w:val="single" w:color="000000" w:sz="4" w:space="0"/>
              <w:left w:val="single" w:color="000000" w:sz="4" w:space="0"/>
              <w:bottom w:val="single" w:color="000000" w:sz="4" w:space="0"/>
              <w:right w:val="single" w:color="000000" w:sz="4" w:space="0"/>
            </w:tcBorders>
            <w:vAlign w:val="bottom"/>
          </w:tcPr>
          <w:p>
            <w:pPr>
              <w:jc w:val="right"/>
              <w:rPr>
                <w:rFonts w:ascii="仿宋" w:hAnsi="仿宋" w:eastAsia="仿宋" w:cs="Arial"/>
                <w:sz w:val="18"/>
                <w:szCs w:val="18"/>
              </w:rPr>
            </w:pPr>
          </w:p>
        </w:tc>
        <w:tc>
          <w:tcPr>
            <w:tcW w:w="5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21</w:t>
            </w:r>
          </w:p>
        </w:tc>
        <w:tc>
          <w:tcPr>
            <w:tcW w:w="1417" w:type="dxa"/>
            <w:tcBorders>
              <w:top w:val="single" w:color="000000" w:sz="4" w:space="0"/>
              <w:left w:val="single" w:color="000000" w:sz="4" w:space="0"/>
              <w:bottom w:val="single" w:color="000000" w:sz="4" w:space="0"/>
              <w:right w:val="single" w:color="000000" w:sz="4" w:space="0"/>
            </w:tcBorders>
            <w:vAlign w:val="bottom"/>
          </w:tcPr>
          <w:p>
            <w:pPr>
              <w:jc w:val="right"/>
              <w:rPr>
                <w:rFonts w:ascii="仿宋" w:hAnsi="仿宋" w:eastAsia="仿宋" w:cs="Arial"/>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bottom"/>
          </w:tcPr>
          <w:p>
            <w:pPr>
              <w:jc w:val="right"/>
              <w:rPr>
                <w:rFonts w:ascii="仿宋" w:hAnsi="仿宋" w:eastAsia="仿宋" w:cs="Arial"/>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政府性基金预算财政拨款</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10</w:t>
            </w:r>
          </w:p>
        </w:tc>
        <w:tc>
          <w:tcPr>
            <w:tcW w:w="1843" w:type="dxa"/>
            <w:tcBorders>
              <w:bottom w:val="single" w:color="000000" w:sz="4" w:space="0"/>
            </w:tcBorders>
            <w:vAlign w:val="center"/>
          </w:tcPr>
          <w:p>
            <w:pPr>
              <w:jc w:val="right"/>
              <w:rPr>
                <w:rFonts w:ascii="仿宋" w:hAnsi="仿宋" w:eastAsia="仿宋" w:cs="Arial"/>
                <w:sz w:val="18"/>
                <w:szCs w:val="18"/>
              </w:rPr>
            </w:pPr>
          </w:p>
        </w:tc>
        <w:tc>
          <w:tcPr>
            <w:tcW w:w="242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5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22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国有资本经营预算财政拨款</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11</w:t>
            </w:r>
          </w:p>
        </w:tc>
        <w:tc>
          <w:tcPr>
            <w:tcW w:w="1843" w:type="dxa"/>
            <w:tcBorders>
              <w:bottom w:val="single" w:color="000000" w:sz="4" w:space="0"/>
            </w:tcBorders>
            <w:vAlign w:val="center"/>
          </w:tcPr>
          <w:p>
            <w:pPr>
              <w:jc w:val="right"/>
              <w:rPr>
                <w:rFonts w:ascii="仿宋" w:hAnsi="仿宋" w:eastAsia="仿宋" w:cs="Arial"/>
                <w:sz w:val="18"/>
                <w:szCs w:val="18"/>
              </w:rPr>
            </w:pPr>
          </w:p>
        </w:tc>
        <w:tc>
          <w:tcPr>
            <w:tcW w:w="242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5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23</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trHeight w:val="375" w:hRule="atLeast"/>
        </w:trPr>
        <w:tc>
          <w:tcPr>
            <w:tcW w:w="2344" w:type="dxa"/>
            <w:tcBorders>
              <w:left w:val="single" w:color="000000" w:sz="4" w:space="0"/>
              <w:bottom w:val="single" w:color="000000" w:sz="4" w:space="0"/>
              <w:right w:val="single" w:color="000000" w:sz="4" w:space="0"/>
            </w:tcBorders>
            <w:vAlign w:val="center"/>
          </w:tcPr>
          <w:p>
            <w:pPr>
              <w:jc w:val="center"/>
              <w:rPr>
                <w:rFonts w:ascii="仿宋" w:hAnsi="仿宋" w:eastAsia="仿宋" w:cs="Arial"/>
                <w:b/>
                <w:bCs/>
                <w:sz w:val="18"/>
                <w:szCs w:val="18"/>
              </w:rPr>
            </w:pPr>
            <w:r>
              <w:rPr>
                <w:rFonts w:hint="eastAsia" w:ascii="仿宋" w:hAnsi="仿宋" w:eastAsia="仿宋" w:cs="Arial"/>
                <w:b/>
                <w:bCs/>
                <w:sz w:val="18"/>
                <w:szCs w:val="18"/>
              </w:rPr>
              <w:t>总计</w:t>
            </w:r>
          </w:p>
        </w:tc>
        <w:tc>
          <w:tcPr>
            <w:tcW w:w="506" w:type="dxa"/>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12</w:t>
            </w:r>
          </w:p>
        </w:tc>
        <w:tc>
          <w:tcPr>
            <w:tcW w:w="1843" w:type="dxa"/>
            <w:tcBorders>
              <w:bottom w:val="single" w:color="000000" w:sz="4" w:space="0"/>
            </w:tcBorders>
            <w:vAlign w:val="center"/>
          </w:tcPr>
          <w:p>
            <w:pPr>
              <w:jc w:val="right"/>
              <w:rPr>
                <w:rFonts w:ascii="仿宋" w:hAnsi="仿宋" w:eastAsia="仿宋" w:cs="Arial"/>
                <w:sz w:val="18"/>
                <w:szCs w:val="18"/>
                <w:lang w:val="en"/>
              </w:rPr>
            </w:pPr>
            <w:r>
              <w:rPr>
                <w:rFonts w:ascii="仿宋" w:hAnsi="仿宋" w:eastAsia="仿宋" w:cs="Arial"/>
                <w:sz w:val="18"/>
                <w:szCs w:val="18"/>
                <w:lang w:val="en"/>
              </w:rPr>
              <w:t>12673.85</w:t>
            </w:r>
          </w:p>
        </w:tc>
        <w:tc>
          <w:tcPr>
            <w:tcW w:w="24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b/>
                <w:bCs/>
                <w:sz w:val="18"/>
                <w:szCs w:val="18"/>
              </w:rPr>
            </w:pPr>
            <w:r>
              <w:rPr>
                <w:rFonts w:hint="eastAsia" w:ascii="仿宋" w:hAnsi="仿宋" w:eastAsia="仿宋" w:cs="Arial"/>
                <w:b/>
                <w:bCs/>
                <w:sz w:val="18"/>
                <w:szCs w:val="18"/>
              </w:rPr>
              <w:t>总计</w:t>
            </w:r>
          </w:p>
        </w:tc>
        <w:tc>
          <w:tcPr>
            <w:tcW w:w="5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24</w:t>
            </w:r>
          </w:p>
        </w:tc>
        <w:tc>
          <w:tcPr>
            <w:tcW w:w="1417"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12,673.85</w:t>
            </w:r>
          </w:p>
        </w:tc>
        <w:tc>
          <w:tcPr>
            <w:tcW w:w="141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12,673.85</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bl>
    <w:p>
      <w:pPr>
        <w:spacing w:line="271" w:lineRule="exact"/>
        <w:rPr>
          <w:rFonts w:ascii="仿宋" w:hAnsi="仿宋" w:eastAsia="仿宋"/>
          <w:sz w:val="20"/>
          <w:szCs w:val="20"/>
        </w:rPr>
      </w:pPr>
    </w:p>
    <w:p>
      <w:pPr>
        <w:spacing w:line="271" w:lineRule="exact"/>
        <w:rPr>
          <w:rFonts w:ascii="仿宋" w:hAnsi="仿宋" w:eastAsia="仿宋"/>
          <w:sz w:val="20"/>
          <w:szCs w:val="20"/>
        </w:rPr>
      </w:pPr>
    </w:p>
    <w:p>
      <w:pPr>
        <w:spacing w:line="251" w:lineRule="exact"/>
        <w:rPr>
          <w:rFonts w:ascii="仿宋" w:hAnsi="仿宋" w:eastAsia="仿宋"/>
          <w:sz w:val="20"/>
          <w:szCs w:val="20"/>
        </w:rPr>
      </w:pPr>
      <w:r>
        <w:rPr>
          <w:rFonts w:ascii="仿宋" w:hAnsi="仿宋" w:eastAsia="仿宋" w:cs="宋体"/>
        </w:rPr>
        <w:t>注：本表反映部门本年度一般公共预算财政拨款和政府性基金预算财政拨款的总收支和年末结转结余情况。</w:t>
      </w:r>
    </w:p>
    <w:p>
      <w:pPr>
        <w:spacing w:line="200" w:lineRule="exact"/>
        <w:rPr>
          <w:sz w:val="20"/>
          <w:szCs w:val="20"/>
        </w:rPr>
      </w:pPr>
    </w:p>
    <w:p>
      <w:pPr>
        <w:sectPr>
          <w:pgSz w:w="16840" w:h="11906" w:orient="landscape"/>
          <w:pgMar w:top="1439" w:right="1440" w:bottom="639" w:left="1440" w:header="0" w:footer="0" w:gutter="0"/>
          <w:cols w:equalWidth="0" w:num="1">
            <w:col w:w="13958"/>
          </w:cols>
        </w:sectPr>
      </w:pPr>
    </w:p>
    <w:p>
      <w:pPr>
        <w:spacing w:line="320" w:lineRule="exact"/>
        <w:ind w:right="-1"/>
        <w:jc w:val="center"/>
        <w:rPr>
          <w:rFonts w:ascii="黑体" w:hAnsi="黑体" w:eastAsia="黑体"/>
          <w:sz w:val="20"/>
          <w:szCs w:val="20"/>
        </w:rPr>
      </w:pPr>
      <w:bookmarkStart w:id="12" w:name="page16"/>
      <w:bookmarkEnd w:id="12"/>
      <w:r>
        <w:rPr>
          <w:rFonts w:ascii="黑体" w:hAnsi="黑体" w:eastAsia="黑体" w:cs="宋体"/>
          <w:b/>
          <w:bCs/>
          <w:sz w:val="28"/>
          <w:szCs w:val="28"/>
        </w:rPr>
        <w:t>一般公共预算财政拨款支出决算表</w:t>
      </w:r>
    </w:p>
    <w:p>
      <w:pPr>
        <w:spacing w:line="103" w:lineRule="exact"/>
        <w:rPr>
          <w:sz w:val="20"/>
          <w:szCs w:val="20"/>
        </w:rPr>
      </w:pPr>
    </w:p>
    <w:tbl>
      <w:tblPr>
        <w:tblStyle w:val="4"/>
        <w:tblW w:w="0" w:type="auto"/>
        <w:tblInd w:w="550" w:type="dxa"/>
        <w:tblLayout w:type="fixed"/>
        <w:tblCellMar>
          <w:top w:w="0" w:type="dxa"/>
          <w:left w:w="0" w:type="dxa"/>
          <w:bottom w:w="0" w:type="dxa"/>
          <w:right w:w="0" w:type="dxa"/>
        </w:tblCellMar>
      </w:tblPr>
      <w:tblGrid>
        <w:gridCol w:w="1640"/>
        <w:gridCol w:w="4040"/>
        <w:gridCol w:w="2560"/>
        <w:gridCol w:w="2320"/>
        <w:gridCol w:w="2360"/>
        <w:gridCol w:w="20"/>
      </w:tblGrid>
      <w:tr>
        <w:tblPrEx>
          <w:tblCellMar>
            <w:top w:w="0" w:type="dxa"/>
            <w:left w:w="0" w:type="dxa"/>
            <w:bottom w:w="0" w:type="dxa"/>
            <w:right w:w="0" w:type="dxa"/>
          </w:tblCellMar>
        </w:tblPrEx>
        <w:trPr>
          <w:trHeight w:val="251" w:hRule="atLeast"/>
        </w:trPr>
        <w:tc>
          <w:tcPr>
            <w:tcW w:w="1640" w:type="dxa"/>
            <w:vAlign w:val="bottom"/>
          </w:tcPr>
          <w:p>
            <w:pPr>
              <w:rPr>
                <w:rFonts w:ascii="仿宋" w:hAnsi="仿宋" w:eastAsia="仿宋"/>
                <w:sz w:val="21"/>
                <w:szCs w:val="21"/>
              </w:rPr>
            </w:pPr>
          </w:p>
        </w:tc>
        <w:tc>
          <w:tcPr>
            <w:tcW w:w="4040" w:type="dxa"/>
            <w:vAlign w:val="bottom"/>
          </w:tcPr>
          <w:p>
            <w:pPr>
              <w:rPr>
                <w:rFonts w:ascii="仿宋" w:hAnsi="仿宋" w:eastAsia="仿宋"/>
                <w:sz w:val="21"/>
                <w:szCs w:val="21"/>
              </w:rPr>
            </w:pPr>
          </w:p>
        </w:tc>
        <w:tc>
          <w:tcPr>
            <w:tcW w:w="2560" w:type="dxa"/>
            <w:vAlign w:val="bottom"/>
          </w:tcPr>
          <w:p>
            <w:pPr>
              <w:rPr>
                <w:rFonts w:ascii="仿宋" w:hAnsi="仿宋" w:eastAsia="仿宋"/>
                <w:sz w:val="21"/>
                <w:szCs w:val="21"/>
              </w:rPr>
            </w:pPr>
          </w:p>
        </w:tc>
        <w:tc>
          <w:tcPr>
            <w:tcW w:w="2320" w:type="dxa"/>
            <w:vAlign w:val="bottom"/>
          </w:tcPr>
          <w:p>
            <w:pPr>
              <w:rPr>
                <w:rFonts w:ascii="仿宋" w:hAnsi="仿宋" w:eastAsia="仿宋"/>
                <w:sz w:val="21"/>
                <w:szCs w:val="21"/>
              </w:rPr>
            </w:pPr>
          </w:p>
        </w:tc>
        <w:tc>
          <w:tcPr>
            <w:tcW w:w="2360" w:type="dxa"/>
            <w:vAlign w:val="bottom"/>
          </w:tcPr>
          <w:p>
            <w:pPr>
              <w:spacing w:line="251" w:lineRule="exact"/>
              <w:ind w:right="10"/>
              <w:jc w:val="right"/>
              <w:rPr>
                <w:rFonts w:ascii="仿宋" w:hAnsi="仿宋" w:eastAsia="仿宋"/>
                <w:sz w:val="20"/>
                <w:szCs w:val="20"/>
              </w:rPr>
            </w:pPr>
            <w:r>
              <w:rPr>
                <w:rFonts w:ascii="仿宋" w:hAnsi="仿宋" w:eastAsia="仿宋" w:cs="宋体"/>
              </w:rPr>
              <w:t>公开 05 表</w:t>
            </w:r>
          </w:p>
        </w:tc>
        <w:tc>
          <w:tcPr>
            <w:tcW w:w="0" w:type="dxa"/>
            <w:vAlign w:val="bottom"/>
          </w:tcPr>
          <w:p>
            <w:pPr>
              <w:rPr>
                <w:rFonts w:ascii="仿宋" w:hAnsi="仿宋" w:eastAsia="仿宋"/>
                <w:sz w:val="1"/>
                <w:szCs w:val="1"/>
              </w:rPr>
            </w:pPr>
          </w:p>
        </w:tc>
      </w:tr>
      <w:tr>
        <w:tblPrEx>
          <w:tblCellMar>
            <w:top w:w="0" w:type="dxa"/>
            <w:left w:w="0" w:type="dxa"/>
            <w:bottom w:w="0" w:type="dxa"/>
            <w:right w:w="0" w:type="dxa"/>
          </w:tblCellMar>
        </w:tblPrEx>
        <w:trPr>
          <w:trHeight w:val="286" w:hRule="atLeast"/>
        </w:trPr>
        <w:tc>
          <w:tcPr>
            <w:tcW w:w="5680" w:type="dxa"/>
            <w:gridSpan w:val="2"/>
            <w:vAlign w:val="bottom"/>
          </w:tcPr>
          <w:p>
            <w:pPr>
              <w:spacing w:line="251" w:lineRule="exact"/>
              <w:ind w:left="100"/>
              <w:rPr>
                <w:rFonts w:ascii="仿宋" w:hAnsi="仿宋" w:eastAsia="仿宋"/>
                <w:sz w:val="20"/>
                <w:szCs w:val="20"/>
              </w:rPr>
            </w:pPr>
            <w:r>
              <w:rPr>
                <w:rFonts w:ascii="仿宋" w:hAnsi="仿宋" w:eastAsia="仿宋" w:cs="宋体"/>
              </w:rPr>
              <w:t>部门：国家统计局</w:t>
            </w:r>
            <w:r>
              <w:rPr>
                <w:rFonts w:hint="eastAsia" w:ascii="仿宋" w:hAnsi="仿宋" w:eastAsia="仿宋" w:cs="宋体"/>
              </w:rPr>
              <w:t>山西调查总队</w:t>
            </w:r>
          </w:p>
        </w:tc>
        <w:tc>
          <w:tcPr>
            <w:tcW w:w="2560" w:type="dxa"/>
            <w:vAlign w:val="bottom"/>
          </w:tcPr>
          <w:p>
            <w:pPr>
              <w:rPr>
                <w:rFonts w:ascii="仿宋" w:hAnsi="仿宋" w:eastAsia="仿宋"/>
                <w:sz w:val="24"/>
                <w:szCs w:val="24"/>
              </w:rPr>
            </w:pPr>
          </w:p>
        </w:tc>
        <w:tc>
          <w:tcPr>
            <w:tcW w:w="2320" w:type="dxa"/>
            <w:vAlign w:val="bottom"/>
          </w:tcPr>
          <w:p>
            <w:pPr>
              <w:rPr>
                <w:rFonts w:ascii="仿宋" w:hAnsi="仿宋" w:eastAsia="仿宋"/>
                <w:sz w:val="24"/>
                <w:szCs w:val="24"/>
              </w:rPr>
            </w:pPr>
          </w:p>
        </w:tc>
        <w:tc>
          <w:tcPr>
            <w:tcW w:w="2360" w:type="dxa"/>
            <w:vAlign w:val="bottom"/>
          </w:tcPr>
          <w:p>
            <w:pPr>
              <w:spacing w:line="251" w:lineRule="exact"/>
              <w:ind w:right="10"/>
              <w:jc w:val="right"/>
              <w:rPr>
                <w:rFonts w:ascii="仿宋" w:hAnsi="仿宋" w:eastAsia="仿宋"/>
                <w:sz w:val="20"/>
                <w:szCs w:val="20"/>
              </w:rPr>
            </w:pPr>
            <w:r>
              <w:rPr>
                <w:rFonts w:ascii="仿宋" w:hAnsi="仿宋" w:eastAsia="仿宋" w:cs="宋体"/>
              </w:rPr>
              <w:t>金额单位：万元</w:t>
            </w:r>
          </w:p>
        </w:tc>
        <w:tc>
          <w:tcPr>
            <w:tcW w:w="0" w:type="dxa"/>
            <w:vAlign w:val="bottom"/>
          </w:tcPr>
          <w:p>
            <w:pPr>
              <w:rPr>
                <w:rFonts w:ascii="仿宋" w:hAnsi="仿宋" w:eastAsia="仿宋"/>
                <w:sz w:val="1"/>
                <w:szCs w:val="1"/>
              </w:rPr>
            </w:pPr>
          </w:p>
        </w:tc>
      </w:tr>
    </w:tbl>
    <w:p>
      <w:pPr>
        <w:spacing w:line="200" w:lineRule="exact"/>
        <w:rPr>
          <w:rFonts w:ascii="仿宋" w:hAnsi="仿宋" w:eastAsia="仿宋"/>
          <w:sz w:val="20"/>
          <w:szCs w:val="20"/>
        </w:rPr>
      </w:pPr>
    </w:p>
    <w:tbl>
      <w:tblPr>
        <w:tblStyle w:val="4"/>
        <w:tblW w:w="13623" w:type="dxa"/>
        <w:tblInd w:w="0" w:type="dxa"/>
        <w:tblLayout w:type="autofit"/>
        <w:tblCellMar>
          <w:top w:w="15" w:type="dxa"/>
          <w:left w:w="15" w:type="dxa"/>
          <w:bottom w:w="15" w:type="dxa"/>
          <w:right w:w="15" w:type="dxa"/>
        </w:tblCellMar>
      </w:tblPr>
      <w:tblGrid>
        <w:gridCol w:w="403"/>
        <w:gridCol w:w="1093"/>
        <w:gridCol w:w="1093"/>
        <w:gridCol w:w="4230"/>
        <w:gridCol w:w="2268"/>
        <w:gridCol w:w="2268"/>
        <w:gridCol w:w="2268"/>
      </w:tblGrid>
      <w:tr>
        <w:tblPrEx>
          <w:tblCellMar>
            <w:top w:w="15" w:type="dxa"/>
            <w:left w:w="15" w:type="dxa"/>
            <w:bottom w:w="15" w:type="dxa"/>
            <w:right w:w="15" w:type="dxa"/>
          </w:tblCellMar>
        </w:tblPrEx>
        <w:trPr>
          <w:trHeight w:val="375" w:hRule="atLeast"/>
        </w:trPr>
        <w:tc>
          <w:tcPr>
            <w:tcW w:w="2589"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科目编码</w:t>
            </w:r>
          </w:p>
        </w:tc>
        <w:tc>
          <w:tcPr>
            <w:tcW w:w="4230" w:type="dxa"/>
            <w:vMerge w:val="restart"/>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科目名称</w:t>
            </w:r>
          </w:p>
        </w:tc>
        <w:tc>
          <w:tcPr>
            <w:tcW w:w="6804" w:type="dxa"/>
            <w:gridSpan w:val="3"/>
            <w:tcBorders>
              <w:top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本年支出</w:t>
            </w:r>
          </w:p>
        </w:tc>
      </w:tr>
      <w:tr>
        <w:tblPrEx>
          <w:tblCellMar>
            <w:top w:w="15" w:type="dxa"/>
            <w:left w:w="15" w:type="dxa"/>
            <w:bottom w:w="15" w:type="dxa"/>
            <w:right w:w="15" w:type="dxa"/>
          </w:tblCellMar>
        </w:tblPrEx>
        <w:trPr>
          <w:trHeight w:val="37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Arial"/>
              </w:rPr>
            </w:pPr>
          </w:p>
        </w:tc>
        <w:tc>
          <w:tcPr>
            <w:tcW w:w="4230" w:type="dxa"/>
            <w:vMerge w:val="continue"/>
            <w:tcBorders>
              <w:top w:val="single" w:color="000000" w:sz="4" w:space="0"/>
              <w:bottom w:val="single" w:color="000000" w:sz="4" w:space="0"/>
              <w:right w:val="single" w:color="000000" w:sz="4" w:space="0"/>
            </w:tcBorders>
            <w:vAlign w:val="center"/>
          </w:tcPr>
          <w:p>
            <w:pPr>
              <w:rPr>
                <w:rFonts w:ascii="仿宋" w:hAnsi="仿宋" w:eastAsia="仿宋" w:cs="Arial"/>
              </w:rPr>
            </w:pPr>
          </w:p>
        </w:tc>
        <w:tc>
          <w:tcPr>
            <w:tcW w:w="2268" w:type="dxa"/>
            <w:tcBorders>
              <w:bottom w:val="single" w:color="000000" w:sz="4" w:space="0"/>
              <w:right w:val="single" w:color="000000" w:sz="4" w:space="0"/>
            </w:tcBorders>
            <w:vAlign w:val="center"/>
          </w:tcPr>
          <w:p>
            <w:pPr>
              <w:jc w:val="center"/>
              <w:rPr>
                <w:rFonts w:ascii="仿宋" w:hAnsi="仿宋" w:eastAsia="仿宋" w:cs="Arial"/>
                <w:lang w:val="en"/>
              </w:rPr>
            </w:pPr>
            <w:r>
              <w:rPr>
                <w:rFonts w:hint="eastAsia" w:ascii="仿宋" w:hAnsi="仿宋" w:eastAsia="仿宋" w:cs="Arial"/>
                <w:lang w:val="en"/>
              </w:rPr>
              <w:t>小计</w:t>
            </w:r>
          </w:p>
        </w:tc>
        <w:tc>
          <w:tcPr>
            <w:tcW w:w="2268"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基本支出</w:t>
            </w:r>
          </w:p>
        </w:tc>
        <w:tc>
          <w:tcPr>
            <w:tcW w:w="2268"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项目支出</w:t>
            </w:r>
          </w:p>
        </w:tc>
      </w:tr>
      <w:tr>
        <w:tblPrEx>
          <w:tblCellMar>
            <w:top w:w="15" w:type="dxa"/>
            <w:left w:w="15" w:type="dxa"/>
            <w:bottom w:w="15" w:type="dxa"/>
            <w:right w:w="15" w:type="dxa"/>
          </w:tblCellMar>
        </w:tblPrEx>
        <w:trPr>
          <w:trHeight w:val="375" w:hRule="atLeast"/>
        </w:trPr>
        <w:tc>
          <w:tcPr>
            <w:tcW w:w="403" w:type="dxa"/>
            <w:vMerge w:val="restart"/>
            <w:tcBorders>
              <w:left w:val="single" w:color="000000" w:sz="4" w:space="0"/>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类</w:t>
            </w:r>
          </w:p>
        </w:tc>
        <w:tc>
          <w:tcPr>
            <w:tcW w:w="1093" w:type="dxa"/>
            <w:vMerge w:val="restart"/>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款</w:t>
            </w:r>
          </w:p>
        </w:tc>
        <w:tc>
          <w:tcPr>
            <w:tcW w:w="1093" w:type="dxa"/>
            <w:vMerge w:val="restart"/>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项</w:t>
            </w:r>
          </w:p>
        </w:tc>
        <w:tc>
          <w:tcPr>
            <w:tcW w:w="4230" w:type="dxa"/>
            <w:tcBorders>
              <w:bottom w:val="single" w:color="000000" w:sz="4" w:space="0"/>
              <w:right w:val="single" w:color="000000" w:sz="4" w:space="0"/>
            </w:tcBorders>
            <w:vAlign w:val="center"/>
          </w:tcPr>
          <w:p>
            <w:pPr>
              <w:jc w:val="center"/>
              <w:rPr>
                <w:rFonts w:ascii="仿宋" w:hAnsi="仿宋" w:eastAsia="仿宋" w:cs="Arial"/>
              </w:rPr>
            </w:pPr>
            <w:r>
              <w:rPr>
                <w:rFonts w:hint="eastAsia" w:ascii="仿宋" w:hAnsi="仿宋" w:eastAsia="仿宋" w:cs="Arial"/>
              </w:rPr>
              <w:t>栏次</w:t>
            </w:r>
          </w:p>
        </w:tc>
        <w:tc>
          <w:tcPr>
            <w:tcW w:w="2268" w:type="dxa"/>
            <w:tcBorders>
              <w:bottom w:val="single" w:color="000000" w:sz="4" w:space="0"/>
              <w:right w:val="single" w:color="000000" w:sz="4" w:space="0"/>
            </w:tcBorders>
            <w:vAlign w:val="center"/>
          </w:tcPr>
          <w:p>
            <w:pPr>
              <w:jc w:val="center"/>
              <w:rPr>
                <w:rFonts w:ascii="仿宋" w:hAnsi="仿宋" w:eastAsia="仿宋" w:cs="Arial"/>
              </w:rPr>
            </w:pPr>
            <w:r>
              <w:rPr>
                <w:rFonts w:ascii="仿宋" w:hAnsi="仿宋" w:eastAsia="仿宋" w:cs="Arial"/>
              </w:rPr>
              <w:t>1</w:t>
            </w:r>
          </w:p>
        </w:tc>
        <w:tc>
          <w:tcPr>
            <w:tcW w:w="2268" w:type="dxa"/>
            <w:tcBorders>
              <w:bottom w:val="single" w:color="000000" w:sz="4" w:space="0"/>
              <w:right w:val="single" w:color="000000" w:sz="4" w:space="0"/>
            </w:tcBorders>
            <w:vAlign w:val="center"/>
          </w:tcPr>
          <w:p>
            <w:pPr>
              <w:jc w:val="center"/>
              <w:rPr>
                <w:rFonts w:ascii="仿宋" w:hAnsi="仿宋" w:eastAsia="仿宋" w:cs="Arial"/>
              </w:rPr>
            </w:pPr>
            <w:r>
              <w:rPr>
                <w:rFonts w:ascii="仿宋" w:hAnsi="仿宋" w:eastAsia="仿宋" w:cs="Arial"/>
              </w:rPr>
              <w:t>2</w:t>
            </w:r>
          </w:p>
        </w:tc>
        <w:tc>
          <w:tcPr>
            <w:tcW w:w="2268" w:type="dxa"/>
            <w:tcBorders>
              <w:bottom w:val="single" w:color="000000" w:sz="4" w:space="0"/>
              <w:right w:val="single" w:color="000000" w:sz="4" w:space="0"/>
            </w:tcBorders>
            <w:vAlign w:val="center"/>
          </w:tcPr>
          <w:p>
            <w:pPr>
              <w:jc w:val="center"/>
              <w:rPr>
                <w:rFonts w:ascii="仿宋" w:hAnsi="仿宋" w:eastAsia="仿宋" w:cs="Arial"/>
              </w:rPr>
            </w:pPr>
            <w:r>
              <w:rPr>
                <w:rFonts w:ascii="仿宋" w:hAnsi="仿宋" w:eastAsia="仿宋" w:cs="Arial"/>
              </w:rPr>
              <w:t>3</w:t>
            </w:r>
          </w:p>
        </w:tc>
      </w:tr>
      <w:tr>
        <w:tblPrEx>
          <w:tblCellMar>
            <w:top w:w="15" w:type="dxa"/>
            <w:left w:w="15" w:type="dxa"/>
            <w:bottom w:w="15" w:type="dxa"/>
            <w:right w:w="15" w:type="dxa"/>
          </w:tblCellMar>
        </w:tblPrEx>
        <w:trPr>
          <w:trHeight w:val="375" w:hRule="atLeast"/>
        </w:trPr>
        <w:tc>
          <w:tcPr>
            <w:tcW w:w="0" w:type="auto"/>
            <w:vMerge w:val="continue"/>
            <w:tcBorders>
              <w:left w:val="single" w:color="000000" w:sz="4" w:space="0"/>
              <w:bottom w:val="single" w:color="000000" w:sz="4" w:space="0"/>
              <w:right w:val="single" w:color="000000" w:sz="4" w:space="0"/>
            </w:tcBorders>
            <w:vAlign w:val="center"/>
          </w:tcPr>
          <w:p>
            <w:pPr>
              <w:rPr>
                <w:rFonts w:ascii="仿宋" w:hAnsi="仿宋" w:eastAsia="仿宋" w:cs="Arial"/>
              </w:rPr>
            </w:pPr>
          </w:p>
        </w:tc>
        <w:tc>
          <w:tcPr>
            <w:tcW w:w="0" w:type="auto"/>
            <w:vMerge w:val="continue"/>
            <w:tcBorders>
              <w:bottom w:val="single" w:color="000000" w:sz="4" w:space="0"/>
              <w:right w:val="single" w:color="000000" w:sz="4" w:space="0"/>
            </w:tcBorders>
            <w:vAlign w:val="center"/>
          </w:tcPr>
          <w:p>
            <w:pPr>
              <w:rPr>
                <w:rFonts w:ascii="仿宋" w:hAnsi="仿宋" w:eastAsia="仿宋" w:cs="Arial"/>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ascii="仿宋" w:hAnsi="仿宋" w:eastAsia="仿宋" w:cs="Arial"/>
              </w:rPr>
            </w:pPr>
          </w:p>
        </w:tc>
        <w:tc>
          <w:tcPr>
            <w:tcW w:w="4230"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rPr>
            </w:pPr>
            <w:r>
              <w:rPr>
                <w:rFonts w:hint="eastAsia" w:ascii="仿宋" w:hAnsi="仿宋" w:eastAsia="仿宋" w:cs="Arial"/>
              </w:rPr>
              <w:t>合计</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11829.96</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10,106.69</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b/>
                <w:bCs/>
                <w:color w:val="000000"/>
              </w:rPr>
            </w:pPr>
            <w:r>
              <w:rPr>
                <w:rFonts w:hint="eastAsia" w:ascii="仿宋" w:hAnsi="仿宋" w:eastAsia="仿宋" w:cs="Arial"/>
                <w:b/>
                <w:bCs/>
                <w:color w:val="000000"/>
              </w:rPr>
              <w:t>1,723.27</w:t>
            </w: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一般公共服务支出</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9,287.37</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7,564.10</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1,723.27</w:t>
            </w: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统计信息事务</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9,287.37</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7,564.10</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1,723.27</w:t>
            </w: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2010501</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行政运行</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7,564.10</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7,564.10</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2010502</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一般行政管理事务</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132.96</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132.96</w:t>
            </w: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2010505</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专项统计业务</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191.00</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191.00</w:t>
            </w: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w:t>
            </w:r>
            <w:r>
              <w:rPr>
                <w:rFonts w:ascii="仿宋" w:hAnsi="仿宋" w:eastAsia="仿宋" w:cs="Arial"/>
              </w:rPr>
              <w:t>010506</w:t>
            </w:r>
          </w:p>
        </w:tc>
        <w:tc>
          <w:tcPr>
            <w:tcW w:w="4230" w:type="dxa"/>
            <w:tcBorders>
              <w:bottom w:val="single" w:color="000000" w:sz="4" w:space="0"/>
              <w:right w:val="single" w:color="000000" w:sz="4" w:space="0"/>
            </w:tcBorders>
            <w:vAlign w:val="center"/>
          </w:tcPr>
          <w:p>
            <w:pPr>
              <w:ind w:firstLine="220" w:firstLineChars="100"/>
              <w:rPr>
                <w:rFonts w:ascii="仿宋" w:hAnsi="仿宋" w:eastAsia="仿宋" w:cs="Arial"/>
              </w:rPr>
            </w:pPr>
            <w:r>
              <w:rPr>
                <w:rFonts w:hint="eastAsia" w:ascii="仿宋" w:hAnsi="仿宋" w:eastAsia="仿宋" w:cs="Arial"/>
              </w:rPr>
              <w:t>统计管理</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36.00</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36.00</w:t>
            </w: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2010508</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统计抽样调查</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1,363.31</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1,363.31</w:t>
            </w: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208</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社会保障和就业支出</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1,335.17</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1,335.17</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20805</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行政事业单位养老支出</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1,335.17</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1,335.17</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2080505</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机关事业单位基本养老保险缴费支出</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902.59</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902.59</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2080506</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机关事业单位职业年金缴费支出</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432.58</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432.58</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4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210</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卫生健康支出</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21011</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行政事业单位医疗</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27"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2101101</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行政单位医疗</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390.04</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221</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住房保障支出</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817.38</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817.38</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12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22102</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住房改革支出</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817.38</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817.38</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243"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2210201</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住房公积金</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713.90</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713.90</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r>
        <w:tblPrEx>
          <w:tblCellMar>
            <w:top w:w="15" w:type="dxa"/>
            <w:left w:w="15" w:type="dxa"/>
            <w:bottom w:w="15" w:type="dxa"/>
            <w:right w:w="15" w:type="dxa"/>
          </w:tblCellMar>
        </w:tblPrEx>
        <w:trPr>
          <w:trHeight w:val="375" w:hRule="atLeast"/>
        </w:trPr>
        <w:tc>
          <w:tcPr>
            <w:tcW w:w="2589" w:type="dxa"/>
            <w:gridSpan w:val="3"/>
            <w:tcBorders>
              <w:left w:val="single" w:color="000000" w:sz="4" w:space="0"/>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2210203</w:t>
            </w:r>
          </w:p>
        </w:tc>
        <w:tc>
          <w:tcPr>
            <w:tcW w:w="4230" w:type="dxa"/>
            <w:tcBorders>
              <w:bottom w:val="single" w:color="000000" w:sz="4" w:space="0"/>
              <w:right w:val="single" w:color="000000" w:sz="4" w:space="0"/>
            </w:tcBorders>
            <w:vAlign w:val="center"/>
          </w:tcPr>
          <w:p>
            <w:pPr>
              <w:rPr>
                <w:rFonts w:ascii="仿宋" w:hAnsi="仿宋" w:eastAsia="仿宋" w:cs="Arial"/>
              </w:rPr>
            </w:pPr>
            <w:r>
              <w:rPr>
                <w:rFonts w:hint="eastAsia" w:ascii="仿宋" w:hAnsi="仿宋" w:eastAsia="仿宋" w:cs="Arial"/>
              </w:rPr>
              <w:t xml:space="preserve">  购房补贴</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103.48</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r>
              <w:rPr>
                <w:rFonts w:hint="eastAsia" w:ascii="仿宋" w:hAnsi="仿宋" w:eastAsia="仿宋" w:cs="Arial"/>
                <w:color w:val="000000"/>
              </w:rPr>
              <w:t>103.48</w:t>
            </w:r>
          </w:p>
        </w:tc>
        <w:tc>
          <w:tcPr>
            <w:tcW w:w="2268"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rPr>
            </w:pPr>
          </w:p>
        </w:tc>
      </w:tr>
    </w:tbl>
    <w:p>
      <w:pPr>
        <w:spacing w:line="320" w:lineRule="exact"/>
        <w:ind w:right="-79"/>
        <w:jc w:val="center"/>
        <w:rPr>
          <w:rFonts w:ascii="黑体" w:hAnsi="黑体" w:eastAsia="黑体" w:cs="宋体"/>
          <w:b/>
          <w:bCs/>
          <w:sz w:val="28"/>
          <w:szCs w:val="28"/>
        </w:rPr>
      </w:pPr>
    </w:p>
    <w:p>
      <w:pPr>
        <w:spacing w:line="320" w:lineRule="exact"/>
        <w:ind w:right="-79"/>
        <w:jc w:val="center"/>
        <w:rPr>
          <w:rFonts w:ascii="黑体" w:hAnsi="黑体" w:eastAsia="黑体"/>
          <w:sz w:val="20"/>
          <w:szCs w:val="20"/>
        </w:rPr>
      </w:pPr>
      <w:r>
        <w:rPr>
          <w:rFonts w:ascii="黑体" w:hAnsi="黑体" w:eastAsia="黑体" w:cs="宋体"/>
          <w:b/>
          <w:bCs/>
          <w:sz w:val="28"/>
          <w:szCs w:val="28"/>
        </w:rPr>
        <w:t>一般公共预算财政拨款基本支出决算表</w:t>
      </w:r>
    </w:p>
    <w:p>
      <w:pPr>
        <w:spacing w:line="70" w:lineRule="exact"/>
        <w:rPr>
          <w:rFonts w:ascii="仿宋" w:hAnsi="仿宋" w:eastAsia="仿宋"/>
          <w:sz w:val="20"/>
          <w:szCs w:val="20"/>
        </w:rPr>
      </w:pPr>
    </w:p>
    <w:tbl>
      <w:tblPr>
        <w:tblStyle w:val="4"/>
        <w:tblW w:w="0" w:type="auto"/>
        <w:tblInd w:w="10" w:type="dxa"/>
        <w:tblLayout w:type="fixed"/>
        <w:tblCellMar>
          <w:top w:w="0" w:type="dxa"/>
          <w:left w:w="0" w:type="dxa"/>
          <w:bottom w:w="0" w:type="dxa"/>
          <w:right w:w="0" w:type="dxa"/>
        </w:tblCellMar>
      </w:tblPr>
      <w:tblGrid>
        <w:gridCol w:w="900"/>
        <w:gridCol w:w="2300"/>
        <w:gridCol w:w="1400"/>
        <w:gridCol w:w="860"/>
        <w:gridCol w:w="1840"/>
        <w:gridCol w:w="1280"/>
        <w:gridCol w:w="640"/>
        <w:gridCol w:w="200"/>
        <w:gridCol w:w="2540"/>
        <w:gridCol w:w="2580"/>
        <w:gridCol w:w="20"/>
      </w:tblGrid>
      <w:tr>
        <w:tblPrEx>
          <w:tblCellMar>
            <w:top w:w="0" w:type="dxa"/>
            <w:left w:w="0" w:type="dxa"/>
            <w:bottom w:w="0" w:type="dxa"/>
            <w:right w:w="0" w:type="dxa"/>
          </w:tblCellMar>
        </w:tblPrEx>
        <w:trPr>
          <w:trHeight w:val="251" w:hRule="atLeast"/>
        </w:trPr>
        <w:tc>
          <w:tcPr>
            <w:tcW w:w="900" w:type="dxa"/>
            <w:vAlign w:val="bottom"/>
          </w:tcPr>
          <w:p>
            <w:pPr>
              <w:rPr>
                <w:rFonts w:ascii="仿宋" w:hAnsi="仿宋" w:eastAsia="仿宋"/>
                <w:sz w:val="21"/>
                <w:szCs w:val="21"/>
              </w:rPr>
            </w:pPr>
          </w:p>
        </w:tc>
        <w:tc>
          <w:tcPr>
            <w:tcW w:w="2300" w:type="dxa"/>
            <w:vAlign w:val="bottom"/>
          </w:tcPr>
          <w:p>
            <w:pPr>
              <w:rPr>
                <w:rFonts w:ascii="仿宋" w:hAnsi="仿宋" w:eastAsia="仿宋"/>
                <w:sz w:val="21"/>
                <w:szCs w:val="21"/>
              </w:rPr>
            </w:pPr>
          </w:p>
        </w:tc>
        <w:tc>
          <w:tcPr>
            <w:tcW w:w="1400" w:type="dxa"/>
            <w:vAlign w:val="bottom"/>
          </w:tcPr>
          <w:p>
            <w:pPr>
              <w:rPr>
                <w:rFonts w:ascii="仿宋" w:hAnsi="仿宋" w:eastAsia="仿宋"/>
                <w:sz w:val="21"/>
                <w:szCs w:val="21"/>
              </w:rPr>
            </w:pPr>
          </w:p>
        </w:tc>
        <w:tc>
          <w:tcPr>
            <w:tcW w:w="860" w:type="dxa"/>
            <w:vAlign w:val="bottom"/>
          </w:tcPr>
          <w:p>
            <w:pPr>
              <w:rPr>
                <w:rFonts w:ascii="仿宋" w:hAnsi="仿宋" w:eastAsia="仿宋"/>
                <w:sz w:val="21"/>
                <w:szCs w:val="21"/>
              </w:rPr>
            </w:pPr>
          </w:p>
        </w:tc>
        <w:tc>
          <w:tcPr>
            <w:tcW w:w="1840" w:type="dxa"/>
            <w:vAlign w:val="bottom"/>
          </w:tcPr>
          <w:p>
            <w:pPr>
              <w:rPr>
                <w:rFonts w:ascii="仿宋" w:hAnsi="仿宋" w:eastAsia="仿宋"/>
                <w:sz w:val="21"/>
                <w:szCs w:val="21"/>
              </w:rPr>
            </w:pPr>
          </w:p>
        </w:tc>
        <w:tc>
          <w:tcPr>
            <w:tcW w:w="1280" w:type="dxa"/>
            <w:vAlign w:val="bottom"/>
          </w:tcPr>
          <w:p>
            <w:pPr>
              <w:rPr>
                <w:rFonts w:ascii="仿宋" w:hAnsi="仿宋" w:eastAsia="仿宋"/>
                <w:sz w:val="21"/>
                <w:szCs w:val="21"/>
              </w:rPr>
            </w:pPr>
          </w:p>
        </w:tc>
        <w:tc>
          <w:tcPr>
            <w:tcW w:w="640" w:type="dxa"/>
            <w:vAlign w:val="bottom"/>
          </w:tcPr>
          <w:p>
            <w:pPr>
              <w:rPr>
                <w:rFonts w:ascii="仿宋" w:hAnsi="仿宋" w:eastAsia="仿宋"/>
                <w:sz w:val="21"/>
                <w:szCs w:val="21"/>
              </w:rPr>
            </w:pPr>
          </w:p>
        </w:tc>
        <w:tc>
          <w:tcPr>
            <w:tcW w:w="200" w:type="dxa"/>
            <w:vAlign w:val="bottom"/>
          </w:tcPr>
          <w:p>
            <w:pPr>
              <w:rPr>
                <w:rFonts w:ascii="仿宋" w:hAnsi="仿宋" w:eastAsia="仿宋"/>
                <w:sz w:val="21"/>
                <w:szCs w:val="21"/>
              </w:rPr>
            </w:pPr>
          </w:p>
        </w:tc>
        <w:tc>
          <w:tcPr>
            <w:tcW w:w="2540" w:type="dxa"/>
            <w:vAlign w:val="bottom"/>
          </w:tcPr>
          <w:p>
            <w:pPr>
              <w:rPr>
                <w:rFonts w:ascii="仿宋" w:hAnsi="仿宋" w:eastAsia="仿宋"/>
                <w:sz w:val="21"/>
                <w:szCs w:val="21"/>
              </w:rPr>
            </w:pPr>
          </w:p>
        </w:tc>
        <w:tc>
          <w:tcPr>
            <w:tcW w:w="2580" w:type="dxa"/>
            <w:vAlign w:val="bottom"/>
          </w:tcPr>
          <w:p>
            <w:pPr>
              <w:spacing w:line="251" w:lineRule="exact"/>
              <w:ind w:right="520"/>
              <w:jc w:val="right"/>
              <w:rPr>
                <w:rFonts w:ascii="仿宋" w:hAnsi="仿宋" w:eastAsia="仿宋"/>
                <w:sz w:val="20"/>
                <w:szCs w:val="20"/>
              </w:rPr>
            </w:pPr>
            <w:r>
              <w:rPr>
                <w:rFonts w:ascii="仿宋" w:hAnsi="仿宋" w:eastAsia="仿宋" w:cs="宋体"/>
              </w:rPr>
              <w:t>公开06表</w:t>
            </w:r>
          </w:p>
        </w:tc>
        <w:tc>
          <w:tcPr>
            <w:tcW w:w="0" w:type="dxa"/>
            <w:vAlign w:val="bottom"/>
          </w:tcPr>
          <w:p>
            <w:pPr>
              <w:rPr>
                <w:rFonts w:ascii="仿宋" w:hAnsi="仿宋" w:eastAsia="仿宋"/>
                <w:sz w:val="1"/>
                <w:szCs w:val="1"/>
              </w:rPr>
            </w:pPr>
          </w:p>
        </w:tc>
      </w:tr>
      <w:tr>
        <w:tblPrEx>
          <w:tblCellMar>
            <w:top w:w="0" w:type="dxa"/>
            <w:left w:w="0" w:type="dxa"/>
            <w:bottom w:w="0" w:type="dxa"/>
            <w:right w:w="0" w:type="dxa"/>
          </w:tblCellMar>
        </w:tblPrEx>
        <w:trPr>
          <w:trHeight w:val="283" w:hRule="atLeast"/>
        </w:trPr>
        <w:tc>
          <w:tcPr>
            <w:tcW w:w="3200" w:type="dxa"/>
            <w:gridSpan w:val="2"/>
            <w:vAlign w:val="bottom"/>
          </w:tcPr>
          <w:p>
            <w:pPr>
              <w:spacing w:line="251" w:lineRule="exact"/>
              <w:ind w:left="120"/>
              <w:rPr>
                <w:rFonts w:ascii="仿宋" w:hAnsi="仿宋" w:eastAsia="仿宋"/>
                <w:sz w:val="20"/>
                <w:szCs w:val="20"/>
              </w:rPr>
            </w:pPr>
            <w:r>
              <w:rPr>
                <w:rFonts w:ascii="仿宋" w:hAnsi="仿宋" w:eastAsia="仿宋" w:cs="宋体"/>
              </w:rPr>
              <w:t>部门：国家统计局</w:t>
            </w:r>
            <w:r>
              <w:rPr>
                <w:rFonts w:hint="eastAsia" w:ascii="仿宋" w:hAnsi="仿宋" w:eastAsia="仿宋" w:cs="宋体"/>
              </w:rPr>
              <w:t>山西调查总队</w:t>
            </w:r>
          </w:p>
        </w:tc>
        <w:tc>
          <w:tcPr>
            <w:tcW w:w="1400" w:type="dxa"/>
            <w:vAlign w:val="bottom"/>
          </w:tcPr>
          <w:p>
            <w:pPr>
              <w:rPr>
                <w:rFonts w:ascii="仿宋" w:hAnsi="仿宋" w:eastAsia="仿宋"/>
                <w:sz w:val="24"/>
                <w:szCs w:val="24"/>
              </w:rPr>
            </w:pPr>
          </w:p>
        </w:tc>
        <w:tc>
          <w:tcPr>
            <w:tcW w:w="860" w:type="dxa"/>
            <w:vAlign w:val="bottom"/>
          </w:tcPr>
          <w:p>
            <w:pPr>
              <w:rPr>
                <w:rFonts w:ascii="仿宋" w:hAnsi="仿宋" w:eastAsia="仿宋"/>
                <w:sz w:val="24"/>
                <w:szCs w:val="24"/>
              </w:rPr>
            </w:pPr>
          </w:p>
        </w:tc>
        <w:tc>
          <w:tcPr>
            <w:tcW w:w="1840" w:type="dxa"/>
            <w:vAlign w:val="bottom"/>
          </w:tcPr>
          <w:p>
            <w:pPr>
              <w:rPr>
                <w:rFonts w:ascii="仿宋" w:hAnsi="仿宋" w:eastAsia="仿宋"/>
                <w:sz w:val="24"/>
                <w:szCs w:val="24"/>
              </w:rPr>
            </w:pPr>
          </w:p>
        </w:tc>
        <w:tc>
          <w:tcPr>
            <w:tcW w:w="1280" w:type="dxa"/>
            <w:vAlign w:val="bottom"/>
          </w:tcPr>
          <w:p>
            <w:pPr>
              <w:rPr>
                <w:rFonts w:ascii="仿宋" w:hAnsi="仿宋" w:eastAsia="仿宋"/>
                <w:sz w:val="24"/>
                <w:szCs w:val="24"/>
              </w:rPr>
            </w:pPr>
          </w:p>
        </w:tc>
        <w:tc>
          <w:tcPr>
            <w:tcW w:w="640" w:type="dxa"/>
            <w:vAlign w:val="bottom"/>
          </w:tcPr>
          <w:p>
            <w:pPr>
              <w:rPr>
                <w:rFonts w:ascii="仿宋" w:hAnsi="仿宋" w:eastAsia="仿宋"/>
                <w:sz w:val="24"/>
                <w:szCs w:val="24"/>
              </w:rPr>
            </w:pPr>
          </w:p>
        </w:tc>
        <w:tc>
          <w:tcPr>
            <w:tcW w:w="200" w:type="dxa"/>
            <w:vAlign w:val="bottom"/>
          </w:tcPr>
          <w:p>
            <w:pPr>
              <w:rPr>
                <w:rFonts w:ascii="仿宋" w:hAnsi="仿宋" w:eastAsia="仿宋"/>
                <w:sz w:val="24"/>
                <w:szCs w:val="24"/>
              </w:rPr>
            </w:pPr>
          </w:p>
        </w:tc>
        <w:tc>
          <w:tcPr>
            <w:tcW w:w="2540" w:type="dxa"/>
            <w:vAlign w:val="bottom"/>
          </w:tcPr>
          <w:p>
            <w:pPr>
              <w:rPr>
                <w:rFonts w:ascii="仿宋" w:hAnsi="仿宋" w:eastAsia="仿宋"/>
                <w:sz w:val="24"/>
                <w:szCs w:val="24"/>
              </w:rPr>
            </w:pPr>
          </w:p>
        </w:tc>
        <w:tc>
          <w:tcPr>
            <w:tcW w:w="2580" w:type="dxa"/>
            <w:vAlign w:val="bottom"/>
          </w:tcPr>
          <w:p>
            <w:pPr>
              <w:spacing w:line="251" w:lineRule="exact"/>
              <w:ind w:right="520"/>
              <w:jc w:val="right"/>
              <w:rPr>
                <w:rFonts w:ascii="仿宋" w:hAnsi="仿宋" w:eastAsia="仿宋"/>
                <w:sz w:val="20"/>
                <w:szCs w:val="20"/>
              </w:rPr>
            </w:pPr>
            <w:r>
              <w:rPr>
                <w:rFonts w:ascii="仿宋" w:hAnsi="仿宋" w:eastAsia="仿宋" w:cs="宋体"/>
              </w:rPr>
              <w:t>金额单位：万元</w:t>
            </w:r>
          </w:p>
        </w:tc>
        <w:tc>
          <w:tcPr>
            <w:tcW w:w="0" w:type="dxa"/>
            <w:vAlign w:val="bottom"/>
          </w:tcPr>
          <w:p>
            <w:pPr>
              <w:rPr>
                <w:rFonts w:ascii="仿宋" w:hAnsi="仿宋" w:eastAsia="仿宋"/>
                <w:sz w:val="1"/>
                <w:szCs w:val="1"/>
              </w:rPr>
            </w:pPr>
          </w:p>
        </w:tc>
      </w:tr>
    </w:tbl>
    <w:p>
      <w:pPr>
        <w:spacing w:line="200" w:lineRule="exact"/>
        <w:rPr>
          <w:rFonts w:ascii="仿宋" w:hAnsi="仿宋" w:eastAsia="仿宋"/>
          <w:sz w:val="20"/>
          <w:szCs w:val="20"/>
        </w:rPr>
      </w:pPr>
    </w:p>
    <w:tbl>
      <w:tblPr>
        <w:tblStyle w:val="4"/>
        <w:tblW w:w="13995" w:type="dxa"/>
        <w:tblInd w:w="0" w:type="dxa"/>
        <w:tblLayout w:type="autofit"/>
        <w:tblCellMar>
          <w:top w:w="15" w:type="dxa"/>
          <w:left w:w="15" w:type="dxa"/>
          <w:bottom w:w="15" w:type="dxa"/>
          <w:right w:w="15" w:type="dxa"/>
        </w:tblCellMar>
      </w:tblPr>
      <w:tblGrid>
        <w:gridCol w:w="945"/>
        <w:gridCol w:w="2745"/>
        <w:gridCol w:w="1290"/>
        <w:gridCol w:w="945"/>
        <w:gridCol w:w="2385"/>
        <w:gridCol w:w="1185"/>
        <w:gridCol w:w="868"/>
        <w:gridCol w:w="2552"/>
        <w:gridCol w:w="1080"/>
      </w:tblGrid>
      <w:tr>
        <w:tblPrEx>
          <w:tblCellMar>
            <w:top w:w="15" w:type="dxa"/>
            <w:left w:w="15" w:type="dxa"/>
            <w:bottom w:w="15" w:type="dxa"/>
            <w:right w:w="15" w:type="dxa"/>
          </w:tblCellMar>
        </w:tblPrEx>
        <w:trPr>
          <w:trHeight w:val="375" w:hRule="atLeast"/>
        </w:trPr>
        <w:tc>
          <w:tcPr>
            <w:tcW w:w="498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人员经费</w:t>
            </w:r>
          </w:p>
        </w:tc>
        <w:tc>
          <w:tcPr>
            <w:tcW w:w="9015" w:type="dxa"/>
            <w:gridSpan w:val="6"/>
            <w:tcBorders>
              <w:top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公用经费</w:t>
            </w:r>
          </w:p>
        </w:tc>
      </w:tr>
      <w:tr>
        <w:tblPrEx>
          <w:tblCellMar>
            <w:top w:w="15" w:type="dxa"/>
            <w:left w:w="15" w:type="dxa"/>
            <w:bottom w:w="15" w:type="dxa"/>
            <w:right w:w="15" w:type="dxa"/>
          </w:tblCellMar>
        </w:tblPrEx>
        <w:trPr>
          <w:trHeight w:val="300" w:hRule="atLeast"/>
        </w:trPr>
        <w:tc>
          <w:tcPr>
            <w:tcW w:w="945" w:type="dxa"/>
            <w:vMerge w:val="restart"/>
            <w:tcBorders>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科目编码</w:t>
            </w:r>
          </w:p>
        </w:tc>
        <w:tc>
          <w:tcPr>
            <w:tcW w:w="2745"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科目名称</w:t>
            </w:r>
          </w:p>
        </w:tc>
        <w:tc>
          <w:tcPr>
            <w:tcW w:w="1290"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决算数</w:t>
            </w:r>
          </w:p>
        </w:tc>
        <w:tc>
          <w:tcPr>
            <w:tcW w:w="945"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科目编码</w:t>
            </w:r>
          </w:p>
        </w:tc>
        <w:tc>
          <w:tcPr>
            <w:tcW w:w="2385"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科目名称</w:t>
            </w:r>
          </w:p>
        </w:tc>
        <w:tc>
          <w:tcPr>
            <w:tcW w:w="1185"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决算数</w:t>
            </w:r>
          </w:p>
        </w:tc>
        <w:tc>
          <w:tcPr>
            <w:tcW w:w="868"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科目编码</w:t>
            </w:r>
          </w:p>
        </w:tc>
        <w:tc>
          <w:tcPr>
            <w:tcW w:w="2552"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科目名称</w:t>
            </w:r>
          </w:p>
        </w:tc>
        <w:tc>
          <w:tcPr>
            <w:tcW w:w="1080" w:type="dxa"/>
            <w:vMerge w:val="restart"/>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决算数</w:t>
            </w:r>
          </w:p>
        </w:tc>
      </w:tr>
      <w:tr>
        <w:tblPrEx>
          <w:tblCellMar>
            <w:top w:w="15" w:type="dxa"/>
            <w:left w:w="15" w:type="dxa"/>
            <w:bottom w:w="15" w:type="dxa"/>
            <w:right w:w="15" w:type="dxa"/>
          </w:tblCellMar>
        </w:tblPrEx>
        <w:trPr>
          <w:trHeight w:val="233" w:hRule="atLeast"/>
        </w:trPr>
        <w:tc>
          <w:tcPr>
            <w:tcW w:w="0" w:type="auto"/>
            <w:vMerge w:val="continue"/>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p>
        </w:tc>
        <w:tc>
          <w:tcPr>
            <w:tcW w:w="0" w:type="auto"/>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0" w:type="auto"/>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0" w:type="auto"/>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0" w:type="auto"/>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0" w:type="auto"/>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868"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2552" w:type="dxa"/>
            <w:vMerge w:val="continue"/>
            <w:tcBorders>
              <w:bottom w:val="single" w:color="000000" w:sz="4" w:space="0"/>
              <w:right w:val="single" w:color="000000" w:sz="4" w:space="0"/>
            </w:tcBorders>
            <w:vAlign w:val="center"/>
          </w:tcPr>
          <w:p>
            <w:pPr>
              <w:rPr>
                <w:rFonts w:ascii="仿宋" w:hAnsi="仿宋" w:eastAsia="仿宋" w:cs="Arial"/>
                <w:sz w:val="18"/>
                <w:szCs w:val="18"/>
              </w:rPr>
            </w:pPr>
          </w:p>
        </w:tc>
        <w:tc>
          <w:tcPr>
            <w:tcW w:w="0" w:type="auto"/>
            <w:vMerge w:val="continue"/>
            <w:tcBorders>
              <w:bottom w:val="single" w:color="000000" w:sz="4" w:space="0"/>
              <w:right w:val="single" w:color="000000" w:sz="4" w:space="0"/>
            </w:tcBorders>
            <w:vAlign w:val="center"/>
          </w:tcPr>
          <w:p>
            <w:pPr>
              <w:rPr>
                <w:rFonts w:ascii="仿宋" w:hAnsi="仿宋" w:eastAsia="仿宋" w:cs="Arial"/>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工资福利支出</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7,537.27</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商品和服务支出</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2,124.99</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307</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债务利息及费用支出</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30101</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基本工资</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2,105.94</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30201</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办公费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238.59</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30701</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国内债务付息</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30102</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津贴补贴</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1,971.77</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30202</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印刷费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92.44</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30702</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国外债务付息</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30103</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奖金</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242.95</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30203</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咨询费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资本性支出</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159.14</w:t>
            </w: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30106</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伙食补助费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30204</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手续费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0.09</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31001</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房屋建筑物购建</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0</w:t>
            </w: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30107</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绩效工资</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30205</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水费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4.64</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31002</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办公设备购置</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65.11</w:t>
            </w: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30108</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机关事业单位基本养老保险缴费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1,035.35</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30206</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电费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52.31</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31003</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专用设备购置</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0.24</w:t>
            </w: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30109</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职业年金缴费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492.58</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30207</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邮电费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115.92</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31005</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基础设施建设</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30110</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职工基本医疗保险缴费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409.53</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30208</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取暖费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72.45</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31006</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大型修缮</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30111</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公务员医疗补助缴费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43.80</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30209</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物业管理费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8.95</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31007</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信息网络及软件购置更新</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30112</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其他社会保障缴费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6.40</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30211</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差旅费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202.65</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31008</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物资储备</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30113</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住房公积金</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1,029.29</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30212</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因公出国（境）费用</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31009</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土地补偿</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30114</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医疗费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159.70</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30213</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维修（护）费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110.62</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31010</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安置补助</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30199</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其他工资福利支出</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39.96</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30214</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租赁费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139.20</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31011</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地上附着物和青苗补偿</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对个人和家庭的补助</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285.29</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30215</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会议费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21.04</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31012</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拆迁补偿</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30301</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离休费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30216</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培训费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45.55</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31013</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公务用车购置</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92.96</w:t>
            </w: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30302</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退休费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111.33</w:t>
            </w: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30217</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公务接待费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3.41</w:t>
            </w: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31019</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其他交通工具购置</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r>
        <w:tblPrEx>
          <w:tblCellMar>
            <w:top w:w="15" w:type="dxa"/>
            <w:left w:w="15" w:type="dxa"/>
            <w:bottom w:w="15" w:type="dxa"/>
            <w:right w:w="15" w:type="dxa"/>
          </w:tblCellMar>
        </w:tblPrEx>
        <w:trPr>
          <w:trHeight w:val="375" w:hRule="atLeast"/>
        </w:trPr>
        <w:tc>
          <w:tcPr>
            <w:tcW w:w="945" w:type="dxa"/>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30303</w:t>
            </w:r>
          </w:p>
        </w:tc>
        <w:tc>
          <w:tcPr>
            <w:tcW w:w="27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退职（役）费</w:t>
            </w:r>
          </w:p>
        </w:tc>
        <w:tc>
          <w:tcPr>
            <w:tcW w:w="129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94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30218</w:t>
            </w:r>
          </w:p>
        </w:tc>
        <w:tc>
          <w:tcPr>
            <w:tcW w:w="2385"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专用材料费</w:t>
            </w: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868"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31021</w:t>
            </w:r>
          </w:p>
        </w:tc>
        <w:tc>
          <w:tcPr>
            <w:tcW w:w="2552"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文物和陈列品购置</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r>
    </w:tbl>
    <w:p>
      <w:pPr>
        <w:spacing w:line="320" w:lineRule="exact"/>
        <w:ind w:right="-79"/>
        <w:jc w:val="center"/>
        <w:rPr>
          <w:rFonts w:ascii="黑体" w:hAnsi="黑体" w:eastAsia="黑体" w:cs="宋体"/>
          <w:b/>
          <w:bCs/>
          <w:sz w:val="28"/>
          <w:szCs w:val="28"/>
        </w:rPr>
      </w:pPr>
    </w:p>
    <w:p>
      <w:pPr>
        <w:spacing w:line="320" w:lineRule="exact"/>
        <w:ind w:right="-79"/>
        <w:jc w:val="center"/>
        <w:rPr>
          <w:rFonts w:ascii="黑体" w:hAnsi="黑体" w:eastAsia="黑体"/>
          <w:sz w:val="20"/>
          <w:szCs w:val="20"/>
        </w:rPr>
      </w:pPr>
      <w:r>
        <w:rPr>
          <w:rFonts w:ascii="黑体" w:hAnsi="黑体" w:eastAsia="黑体" w:cs="宋体"/>
          <w:b/>
          <w:bCs/>
          <w:sz w:val="28"/>
          <w:szCs w:val="28"/>
        </w:rPr>
        <w:t>一般公共预算财政拨款基本支出决算表</w:t>
      </w:r>
    </w:p>
    <w:p>
      <w:pPr>
        <w:spacing w:line="70" w:lineRule="exact"/>
        <w:rPr>
          <w:sz w:val="20"/>
          <w:szCs w:val="20"/>
        </w:rPr>
      </w:pPr>
    </w:p>
    <w:tbl>
      <w:tblPr>
        <w:tblStyle w:val="4"/>
        <w:tblW w:w="14570" w:type="dxa"/>
        <w:tblInd w:w="-135" w:type="dxa"/>
        <w:tblLayout w:type="fixed"/>
        <w:tblCellMar>
          <w:top w:w="0" w:type="dxa"/>
          <w:left w:w="0" w:type="dxa"/>
          <w:bottom w:w="0" w:type="dxa"/>
          <w:right w:w="0" w:type="dxa"/>
        </w:tblCellMar>
      </w:tblPr>
      <w:tblGrid>
        <w:gridCol w:w="10"/>
        <w:gridCol w:w="900"/>
        <w:gridCol w:w="35"/>
        <w:gridCol w:w="2265"/>
        <w:gridCol w:w="480"/>
        <w:gridCol w:w="920"/>
        <w:gridCol w:w="370"/>
        <w:gridCol w:w="490"/>
        <w:gridCol w:w="455"/>
        <w:gridCol w:w="1385"/>
        <w:gridCol w:w="1000"/>
        <w:gridCol w:w="280"/>
        <w:gridCol w:w="640"/>
        <w:gridCol w:w="200"/>
        <w:gridCol w:w="65"/>
        <w:gridCol w:w="660"/>
        <w:gridCol w:w="1815"/>
        <w:gridCol w:w="945"/>
        <w:gridCol w:w="1080"/>
        <w:gridCol w:w="555"/>
        <w:gridCol w:w="20"/>
      </w:tblGrid>
      <w:tr>
        <w:tblPrEx>
          <w:tblCellMar>
            <w:top w:w="0" w:type="dxa"/>
            <w:left w:w="0" w:type="dxa"/>
            <w:bottom w:w="0" w:type="dxa"/>
            <w:right w:w="0" w:type="dxa"/>
          </w:tblCellMar>
        </w:tblPrEx>
        <w:trPr>
          <w:gridBefore w:val="1"/>
          <w:wBefore w:w="10" w:type="dxa"/>
          <w:trHeight w:val="251" w:hRule="atLeast"/>
        </w:trPr>
        <w:tc>
          <w:tcPr>
            <w:tcW w:w="900" w:type="dxa"/>
            <w:vAlign w:val="bottom"/>
          </w:tcPr>
          <w:p>
            <w:pPr>
              <w:rPr>
                <w:rFonts w:ascii="仿宋" w:hAnsi="仿宋" w:eastAsia="仿宋"/>
                <w:sz w:val="21"/>
                <w:szCs w:val="21"/>
              </w:rPr>
            </w:pPr>
          </w:p>
        </w:tc>
        <w:tc>
          <w:tcPr>
            <w:tcW w:w="2300" w:type="dxa"/>
            <w:gridSpan w:val="2"/>
            <w:vAlign w:val="bottom"/>
          </w:tcPr>
          <w:p>
            <w:pPr>
              <w:rPr>
                <w:rFonts w:ascii="仿宋" w:hAnsi="仿宋" w:eastAsia="仿宋"/>
                <w:sz w:val="21"/>
                <w:szCs w:val="21"/>
              </w:rPr>
            </w:pPr>
          </w:p>
        </w:tc>
        <w:tc>
          <w:tcPr>
            <w:tcW w:w="1400" w:type="dxa"/>
            <w:gridSpan w:val="2"/>
            <w:vAlign w:val="bottom"/>
          </w:tcPr>
          <w:p>
            <w:pPr>
              <w:rPr>
                <w:rFonts w:ascii="仿宋" w:hAnsi="仿宋" w:eastAsia="仿宋"/>
                <w:sz w:val="21"/>
                <w:szCs w:val="21"/>
              </w:rPr>
            </w:pPr>
          </w:p>
        </w:tc>
        <w:tc>
          <w:tcPr>
            <w:tcW w:w="860" w:type="dxa"/>
            <w:gridSpan w:val="2"/>
            <w:vAlign w:val="bottom"/>
          </w:tcPr>
          <w:p>
            <w:pPr>
              <w:rPr>
                <w:rFonts w:ascii="仿宋" w:hAnsi="仿宋" w:eastAsia="仿宋"/>
                <w:sz w:val="21"/>
                <w:szCs w:val="21"/>
              </w:rPr>
            </w:pPr>
          </w:p>
        </w:tc>
        <w:tc>
          <w:tcPr>
            <w:tcW w:w="1840" w:type="dxa"/>
            <w:gridSpan w:val="2"/>
            <w:vAlign w:val="bottom"/>
          </w:tcPr>
          <w:p>
            <w:pPr>
              <w:rPr>
                <w:rFonts w:ascii="仿宋" w:hAnsi="仿宋" w:eastAsia="仿宋"/>
                <w:sz w:val="21"/>
                <w:szCs w:val="21"/>
              </w:rPr>
            </w:pPr>
          </w:p>
        </w:tc>
        <w:tc>
          <w:tcPr>
            <w:tcW w:w="1280" w:type="dxa"/>
            <w:gridSpan w:val="2"/>
            <w:vAlign w:val="bottom"/>
          </w:tcPr>
          <w:p>
            <w:pPr>
              <w:rPr>
                <w:rFonts w:ascii="仿宋" w:hAnsi="仿宋" w:eastAsia="仿宋"/>
                <w:sz w:val="21"/>
                <w:szCs w:val="21"/>
              </w:rPr>
            </w:pPr>
          </w:p>
        </w:tc>
        <w:tc>
          <w:tcPr>
            <w:tcW w:w="640" w:type="dxa"/>
            <w:vAlign w:val="bottom"/>
          </w:tcPr>
          <w:p>
            <w:pPr>
              <w:rPr>
                <w:rFonts w:ascii="仿宋" w:hAnsi="仿宋" w:eastAsia="仿宋"/>
                <w:sz w:val="21"/>
                <w:szCs w:val="21"/>
              </w:rPr>
            </w:pPr>
          </w:p>
        </w:tc>
        <w:tc>
          <w:tcPr>
            <w:tcW w:w="200" w:type="dxa"/>
            <w:vAlign w:val="bottom"/>
          </w:tcPr>
          <w:p>
            <w:pPr>
              <w:rPr>
                <w:rFonts w:ascii="仿宋" w:hAnsi="仿宋" w:eastAsia="仿宋"/>
                <w:sz w:val="21"/>
                <w:szCs w:val="21"/>
              </w:rPr>
            </w:pPr>
          </w:p>
        </w:tc>
        <w:tc>
          <w:tcPr>
            <w:tcW w:w="2540" w:type="dxa"/>
            <w:gridSpan w:val="3"/>
            <w:vAlign w:val="bottom"/>
          </w:tcPr>
          <w:p>
            <w:pPr>
              <w:rPr>
                <w:rFonts w:ascii="仿宋" w:hAnsi="仿宋" w:eastAsia="仿宋"/>
                <w:sz w:val="21"/>
                <w:szCs w:val="21"/>
              </w:rPr>
            </w:pPr>
          </w:p>
        </w:tc>
        <w:tc>
          <w:tcPr>
            <w:tcW w:w="2580" w:type="dxa"/>
            <w:gridSpan w:val="3"/>
            <w:vAlign w:val="bottom"/>
          </w:tcPr>
          <w:p>
            <w:pPr>
              <w:spacing w:line="251" w:lineRule="exact"/>
              <w:ind w:right="300"/>
              <w:jc w:val="right"/>
              <w:rPr>
                <w:rFonts w:ascii="仿宋" w:hAnsi="仿宋" w:eastAsia="仿宋"/>
                <w:sz w:val="20"/>
                <w:szCs w:val="20"/>
              </w:rPr>
            </w:pPr>
            <w:r>
              <w:rPr>
                <w:rFonts w:ascii="仿宋" w:hAnsi="仿宋" w:eastAsia="仿宋" w:cs="宋体"/>
              </w:rPr>
              <w:t>公开06表</w:t>
            </w:r>
            <w:r>
              <w:rPr>
                <w:rFonts w:ascii="仿宋" w:hAnsi="仿宋" w:eastAsia="仿宋" w:cs="宋体"/>
                <w:w w:val="98"/>
              </w:rPr>
              <w:t>（续）</w:t>
            </w:r>
          </w:p>
        </w:tc>
        <w:tc>
          <w:tcPr>
            <w:tcW w:w="20" w:type="dxa"/>
            <w:vAlign w:val="bottom"/>
          </w:tcPr>
          <w:p>
            <w:pPr>
              <w:rPr>
                <w:rFonts w:ascii="仿宋" w:hAnsi="仿宋" w:eastAsia="仿宋"/>
                <w:sz w:val="1"/>
                <w:szCs w:val="1"/>
              </w:rPr>
            </w:pPr>
          </w:p>
        </w:tc>
      </w:tr>
      <w:tr>
        <w:tblPrEx>
          <w:tblCellMar>
            <w:top w:w="0" w:type="dxa"/>
            <w:left w:w="0" w:type="dxa"/>
            <w:bottom w:w="0" w:type="dxa"/>
            <w:right w:w="0" w:type="dxa"/>
          </w:tblCellMar>
        </w:tblPrEx>
        <w:trPr>
          <w:gridBefore w:val="1"/>
          <w:wBefore w:w="10" w:type="dxa"/>
          <w:trHeight w:val="283" w:hRule="atLeast"/>
        </w:trPr>
        <w:tc>
          <w:tcPr>
            <w:tcW w:w="3200" w:type="dxa"/>
            <w:gridSpan w:val="3"/>
            <w:vAlign w:val="bottom"/>
          </w:tcPr>
          <w:p>
            <w:pPr>
              <w:spacing w:line="251" w:lineRule="exact"/>
              <w:ind w:left="120"/>
              <w:rPr>
                <w:rFonts w:ascii="仿宋" w:hAnsi="仿宋" w:eastAsia="仿宋"/>
                <w:sz w:val="20"/>
                <w:szCs w:val="20"/>
              </w:rPr>
            </w:pPr>
            <w:r>
              <w:rPr>
                <w:rFonts w:ascii="仿宋" w:hAnsi="仿宋" w:eastAsia="仿宋" w:cs="宋体"/>
              </w:rPr>
              <w:t>部门：国家统计局</w:t>
            </w:r>
            <w:r>
              <w:rPr>
                <w:rFonts w:hint="eastAsia" w:ascii="仿宋" w:hAnsi="仿宋" w:eastAsia="仿宋" w:cs="宋体"/>
              </w:rPr>
              <w:t>山西调查总队</w:t>
            </w:r>
          </w:p>
        </w:tc>
        <w:tc>
          <w:tcPr>
            <w:tcW w:w="1400" w:type="dxa"/>
            <w:gridSpan w:val="2"/>
            <w:tcBorders>
              <w:bottom w:val="single" w:color="auto" w:sz="4" w:space="0"/>
            </w:tcBorders>
            <w:vAlign w:val="bottom"/>
          </w:tcPr>
          <w:p>
            <w:pPr>
              <w:rPr>
                <w:rFonts w:ascii="仿宋" w:hAnsi="仿宋" w:eastAsia="仿宋"/>
                <w:sz w:val="24"/>
                <w:szCs w:val="24"/>
              </w:rPr>
            </w:pPr>
          </w:p>
        </w:tc>
        <w:tc>
          <w:tcPr>
            <w:tcW w:w="860" w:type="dxa"/>
            <w:gridSpan w:val="2"/>
            <w:vAlign w:val="bottom"/>
          </w:tcPr>
          <w:p>
            <w:pPr>
              <w:rPr>
                <w:rFonts w:ascii="仿宋" w:hAnsi="仿宋" w:eastAsia="仿宋"/>
                <w:sz w:val="24"/>
                <w:szCs w:val="24"/>
              </w:rPr>
            </w:pPr>
          </w:p>
        </w:tc>
        <w:tc>
          <w:tcPr>
            <w:tcW w:w="1840" w:type="dxa"/>
            <w:gridSpan w:val="2"/>
            <w:vAlign w:val="bottom"/>
          </w:tcPr>
          <w:p>
            <w:pPr>
              <w:rPr>
                <w:rFonts w:ascii="仿宋" w:hAnsi="仿宋" w:eastAsia="仿宋"/>
                <w:sz w:val="24"/>
                <w:szCs w:val="24"/>
              </w:rPr>
            </w:pPr>
          </w:p>
        </w:tc>
        <w:tc>
          <w:tcPr>
            <w:tcW w:w="1280" w:type="dxa"/>
            <w:gridSpan w:val="2"/>
            <w:vAlign w:val="bottom"/>
          </w:tcPr>
          <w:p>
            <w:pPr>
              <w:rPr>
                <w:rFonts w:ascii="仿宋" w:hAnsi="仿宋" w:eastAsia="仿宋"/>
                <w:sz w:val="24"/>
                <w:szCs w:val="24"/>
              </w:rPr>
            </w:pPr>
          </w:p>
        </w:tc>
        <w:tc>
          <w:tcPr>
            <w:tcW w:w="640" w:type="dxa"/>
            <w:vAlign w:val="bottom"/>
          </w:tcPr>
          <w:p>
            <w:pPr>
              <w:rPr>
                <w:rFonts w:ascii="仿宋" w:hAnsi="仿宋" w:eastAsia="仿宋"/>
                <w:sz w:val="24"/>
                <w:szCs w:val="24"/>
              </w:rPr>
            </w:pPr>
          </w:p>
        </w:tc>
        <w:tc>
          <w:tcPr>
            <w:tcW w:w="200" w:type="dxa"/>
            <w:vAlign w:val="bottom"/>
          </w:tcPr>
          <w:p>
            <w:pPr>
              <w:rPr>
                <w:rFonts w:ascii="仿宋" w:hAnsi="仿宋" w:eastAsia="仿宋"/>
                <w:sz w:val="24"/>
                <w:szCs w:val="24"/>
              </w:rPr>
            </w:pPr>
          </w:p>
        </w:tc>
        <w:tc>
          <w:tcPr>
            <w:tcW w:w="2540" w:type="dxa"/>
            <w:gridSpan w:val="3"/>
            <w:vAlign w:val="bottom"/>
          </w:tcPr>
          <w:p>
            <w:pPr>
              <w:rPr>
                <w:rFonts w:ascii="仿宋" w:hAnsi="仿宋" w:eastAsia="仿宋"/>
                <w:sz w:val="24"/>
                <w:szCs w:val="24"/>
              </w:rPr>
            </w:pPr>
          </w:p>
        </w:tc>
        <w:tc>
          <w:tcPr>
            <w:tcW w:w="2580" w:type="dxa"/>
            <w:gridSpan w:val="3"/>
            <w:vAlign w:val="bottom"/>
          </w:tcPr>
          <w:p>
            <w:pPr>
              <w:spacing w:line="251" w:lineRule="exact"/>
              <w:ind w:right="520"/>
              <w:jc w:val="right"/>
              <w:rPr>
                <w:rFonts w:ascii="仿宋" w:hAnsi="仿宋" w:eastAsia="仿宋"/>
                <w:sz w:val="20"/>
                <w:szCs w:val="20"/>
              </w:rPr>
            </w:pPr>
            <w:r>
              <w:rPr>
                <w:rFonts w:ascii="仿宋" w:hAnsi="仿宋" w:eastAsia="仿宋" w:cs="宋体"/>
              </w:rPr>
              <w:t>金额单位：万元</w:t>
            </w:r>
          </w:p>
        </w:tc>
        <w:tc>
          <w:tcPr>
            <w:tcW w:w="20" w:type="dxa"/>
            <w:vAlign w:val="bottom"/>
          </w:tcPr>
          <w:p>
            <w:pPr>
              <w:rPr>
                <w:rFonts w:ascii="仿宋" w:hAnsi="仿宋" w:eastAsia="仿宋"/>
                <w:sz w:val="1"/>
                <w:szCs w:val="1"/>
              </w:rPr>
            </w:pPr>
          </w:p>
        </w:tc>
      </w:tr>
      <w:tr>
        <w:tblPrEx>
          <w:tblCellMar>
            <w:top w:w="15" w:type="dxa"/>
            <w:left w:w="15" w:type="dxa"/>
            <w:bottom w:w="15" w:type="dxa"/>
            <w:right w:w="15" w:type="dxa"/>
          </w:tblCellMar>
        </w:tblPrEx>
        <w:trPr>
          <w:gridAfter w:val="2"/>
          <w:wAfter w:w="575" w:type="dxa"/>
          <w:trHeight w:val="375" w:hRule="atLeast"/>
        </w:trPr>
        <w:tc>
          <w:tcPr>
            <w:tcW w:w="4980" w:type="dxa"/>
            <w:gridSpan w:val="7"/>
            <w:tcBorders>
              <w:top w:val="single" w:color="auto" w:sz="4" w:space="0"/>
              <w:left w:val="single" w:color="000000" w:sz="4" w:space="0"/>
              <w:bottom w:val="single" w:color="000000" w:sz="4" w:space="0"/>
              <w:right w:val="single" w:color="auto"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人员经费</w:t>
            </w:r>
          </w:p>
        </w:tc>
        <w:tc>
          <w:tcPr>
            <w:tcW w:w="9015"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Arial"/>
                <w:sz w:val="18"/>
                <w:szCs w:val="18"/>
              </w:rPr>
            </w:pPr>
            <w:r>
              <w:rPr>
                <w:rFonts w:hint="eastAsia" w:ascii="仿宋" w:hAnsi="仿宋" w:eastAsia="仿宋" w:cs="Arial"/>
                <w:sz w:val="18"/>
                <w:szCs w:val="18"/>
              </w:rPr>
              <w:t>公用经费</w:t>
            </w: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科目编码</w:t>
            </w:r>
          </w:p>
        </w:tc>
        <w:tc>
          <w:tcPr>
            <w:tcW w:w="2745" w:type="dxa"/>
            <w:gridSpan w:val="2"/>
            <w:tcBorders>
              <w:top w:val="single" w:color="auto"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科目名称</w:t>
            </w:r>
          </w:p>
        </w:tc>
        <w:tc>
          <w:tcPr>
            <w:tcW w:w="1290" w:type="dxa"/>
            <w:gridSpan w:val="2"/>
            <w:tcBorders>
              <w:top w:val="single" w:color="auto" w:sz="4" w:space="0"/>
              <w:left w:val="nil"/>
              <w:bottom w:val="single" w:color="000000" w:sz="4" w:space="0"/>
              <w:right w:val="single" w:color="auto" w:sz="4" w:space="0"/>
            </w:tcBorders>
            <w:shd w:val="clear" w:color="auto" w:fill="auto"/>
            <w:vAlign w:val="center"/>
          </w:tcPr>
          <w:p>
            <w:pPr>
              <w:jc w:val="center"/>
              <w:rPr>
                <w:rFonts w:ascii="仿宋" w:hAnsi="仿宋" w:eastAsia="仿宋" w:cs="Arial"/>
                <w:sz w:val="18"/>
                <w:szCs w:val="18"/>
              </w:rPr>
            </w:pPr>
            <w:r>
              <w:rPr>
                <w:rFonts w:hint="eastAsia" w:ascii="仿宋" w:hAnsi="仿宋" w:eastAsia="仿宋" w:cs="Arial"/>
                <w:sz w:val="18"/>
                <w:szCs w:val="18"/>
              </w:rPr>
              <w:t>决算数</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18"/>
                <w:szCs w:val="18"/>
              </w:rPr>
            </w:pPr>
            <w:r>
              <w:rPr>
                <w:rFonts w:hint="eastAsia" w:ascii="仿宋" w:hAnsi="仿宋" w:eastAsia="仿宋" w:cs="Arial"/>
                <w:sz w:val="18"/>
                <w:szCs w:val="18"/>
              </w:rPr>
              <w:t>科目编码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科目名称</w:t>
            </w:r>
          </w:p>
        </w:tc>
        <w:tc>
          <w:tcPr>
            <w:tcW w:w="11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18"/>
                <w:szCs w:val="18"/>
              </w:rPr>
            </w:pPr>
            <w:r>
              <w:rPr>
                <w:rFonts w:hint="eastAsia" w:ascii="仿宋" w:hAnsi="仿宋" w:eastAsia="仿宋" w:cs="Arial"/>
                <w:sz w:val="18"/>
                <w:szCs w:val="18"/>
              </w:rPr>
              <w:t>决算数</w:t>
            </w:r>
          </w:p>
        </w:tc>
        <w:tc>
          <w:tcPr>
            <w:tcW w:w="660"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科目编码</w:t>
            </w:r>
          </w:p>
        </w:tc>
        <w:tc>
          <w:tcPr>
            <w:tcW w:w="2760" w:type="dxa"/>
            <w:gridSpan w:val="2"/>
            <w:tcBorders>
              <w:top w:val="single" w:color="auto"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科目名称</w:t>
            </w:r>
          </w:p>
        </w:tc>
        <w:tc>
          <w:tcPr>
            <w:tcW w:w="1080" w:type="dxa"/>
            <w:tcBorders>
              <w:top w:val="single" w:color="auto"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决算数</w:t>
            </w: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top w:val="single" w:color="auto" w:sz="4" w:space="0"/>
              <w:left w:val="single" w:color="000000" w:sz="4" w:space="0"/>
              <w:bottom w:val="single" w:color="000000" w:sz="4" w:space="0"/>
              <w:right w:val="single" w:color="000000" w:sz="4" w:space="0"/>
            </w:tcBorders>
            <w:vAlign w:val="center"/>
          </w:tcPr>
          <w:p>
            <w:pPr>
              <w:rPr>
                <w:rFonts w:ascii="仿宋" w:hAnsi="仿宋" w:eastAsia="仿宋" w:cs="Arial"/>
                <w:sz w:val="18"/>
                <w:szCs w:val="18"/>
              </w:rPr>
            </w:pPr>
            <w:bookmarkStart w:id="13" w:name="page18"/>
            <w:bookmarkEnd w:id="13"/>
            <w:r>
              <w:rPr>
                <w:rFonts w:hint="eastAsia" w:ascii="仿宋" w:hAnsi="仿宋" w:eastAsia="仿宋" w:cs="Arial"/>
                <w:sz w:val="18"/>
                <w:szCs w:val="18"/>
              </w:rPr>
              <w:t>30304</w:t>
            </w:r>
          </w:p>
        </w:tc>
        <w:tc>
          <w:tcPr>
            <w:tcW w:w="2745" w:type="dxa"/>
            <w:gridSpan w:val="2"/>
            <w:tcBorders>
              <w:top w:val="single" w:color="auto"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抚恤金</w:t>
            </w:r>
          </w:p>
        </w:tc>
        <w:tc>
          <w:tcPr>
            <w:tcW w:w="1290" w:type="dxa"/>
            <w:gridSpan w:val="2"/>
            <w:tcBorders>
              <w:top w:val="single" w:color="auto" w:sz="4" w:space="0"/>
              <w:left w:val="nil"/>
              <w:bottom w:val="single" w:color="000000" w:sz="4" w:space="0"/>
              <w:right w:val="single" w:color="auto"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96.71</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30224</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被装购置费</w:t>
            </w:r>
          </w:p>
        </w:tc>
        <w:tc>
          <w:tcPr>
            <w:tcW w:w="11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 w:hAnsi="仿宋" w:eastAsia="仿宋" w:cs="Arial"/>
                <w:color w:val="000000"/>
                <w:sz w:val="18"/>
                <w:szCs w:val="18"/>
              </w:rPr>
            </w:pPr>
          </w:p>
        </w:tc>
        <w:tc>
          <w:tcPr>
            <w:tcW w:w="660" w:type="dxa"/>
            <w:tcBorders>
              <w:top w:val="single" w:color="auto" w:sz="4" w:space="0"/>
              <w:left w:val="single" w:color="auto"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31022</w:t>
            </w:r>
          </w:p>
        </w:tc>
        <w:tc>
          <w:tcPr>
            <w:tcW w:w="2760" w:type="dxa"/>
            <w:gridSpan w:val="2"/>
            <w:tcBorders>
              <w:top w:val="single" w:color="auto"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无形资产购置</w:t>
            </w:r>
          </w:p>
        </w:tc>
        <w:tc>
          <w:tcPr>
            <w:tcW w:w="1080" w:type="dxa"/>
            <w:tcBorders>
              <w:top w:val="single" w:color="auto" w:sz="4" w:space="0"/>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30305</w:t>
            </w:r>
          </w:p>
        </w:tc>
        <w:tc>
          <w:tcPr>
            <w:tcW w:w="274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生活补助</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8.99</w:t>
            </w: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30225</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专用燃料费</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660"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31099</w:t>
            </w:r>
          </w:p>
        </w:tc>
        <w:tc>
          <w:tcPr>
            <w:tcW w:w="2760"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其他资本性支出</w:t>
            </w:r>
          </w:p>
        </w:tc>
        <w:tc>
          <w:tcPr>
            <w:tcW w:w="1080" w:type="dxa"/>
            <w:tcBorders>
              <w:bottom w:val="single" w:color="000000" w:sz="4" w:space="0"/>
              <w:right w:val="single" w:color="000000" w:sz="4" w:space="0"/>
            </w:tcBorders>
            <w:vAlign w:val="center"/>
          </w:tcPr>
          <w:p>
            <w:pPr>
              <w:jc w:val="right"/>
              <w:rPr>
                <w:rFonts w:ascii="仿宋" w:hAnsi="仿宋" w:eastAsia="仿宋" w:cs="Arial"/>
                <w:sz w:val="18"/>
                <w:szCs w:val="18"/>
              </w:rPr>
            </w:pPr>
            <w:r>
              <w:rPr>
                <w:rFonts w:hint="eastAsia" w:ascii="仿宋" w:hAnsi="仿宋" w:eastAsia="仿宋" w:cs="Arial"/>
                <w:sz w:val="18"/>
                <w:szCs w:val="18"/>
              </w:rPr>
              <w:t>0.83</w:t>
            </w: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30306</w:t>
            </w:r>
          </w:p>
        </w:tc>
        <w:tc>
          <w:tcPr>
            <w:tcW w:w="274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救济费</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30226</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劳务费</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102.33</w:t>
            </w:r>
          </w:p>
        </w:tc>
        <w:tc>
          <w:tcPr>
            <w:tcW w:w="660"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399</w:t>
            </w:r>
          </w:p>
        </w:tc>
        <w:tc>
          <w:tcPr>
            <w:tcW w:w="2760"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其他支出</w:t>
            </w:r>
          </w:p>
        </w:tc>
        <w:tc>
          <w:tcPr>
            <w:tcW w:w="1080" w:type="dxa"/>
            <w:tcBorders>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30307</w:t>
            </w:r>
          </w:p>
        </w:tc>
        <w:tc>
          <w:tcPr>
            <w:tcW w:w="274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医疗费补助</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6.18</w:t>
            </w: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30227</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委托业务费</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3.36</w:t>
            </w:r>
          </w:p>
        </w:tc>
        <w:tc>
          <w:tcPr>
            <w:tcW w:w="660"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39906</w:t>
            </w:r>
          </w:p>
        </w:tc>
        <w:tc>
          <w:tcPr>
            <w:tcW w:w="2760"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国家赔偿费用支出</w:t>
            </w:r>
          </w:p>
        </w:tc>
        <w:tc>
          <w:tcPr>
            <w:tcW w:w="1080" w:type="dxa"/>
            <w:tcBorders>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30308</w:t>
            </w:r>
          </w:p>
        </w:tc>
        <w:tc>
          <w:tcPr>
            <w:tcW w:w="274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助学金</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30228</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工会经费</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155.50</w:t>
            </w:r>
          </w:p>
        </w:tc>
        <w:tc>
          <w:tcPr>
            <w:tcW w:w="660"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39907</w:t>
            </w:r>
          </w:p>
        </w:tc>
        <w:tc>
          <w:tcPr>
            <w:tcW w:w="2760"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对民间非营利组织和群众性自治组织补贴</w:t>
            </w:r>
          </w:p>
        </w:tc>
        <w:tc>
          <w:tcPr>
            <w:tcW w:w="1080" w:type="dxa"/>
            <w:tcBorders>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30309</w:t>
            </w:r>
          </w:p>
        </w:tc>
        <w:tc>
          <w:tcPr>
            <w:tcW w:w="274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奖励金</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27.83</w:t>
            </w: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30229</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福利费</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87.24</w:t>
            </w:r>
          </w:p>
        </w:tc>
        <w:tc>
          <w:tcPr>
            <w:tcW w:w="660"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39908</w:t>
            </w:r>
          </w:p>
        </w:tc>
        <w:tc>
          <w:tcPr>
            <w:tcW w:w="2760"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经常性赠与</w:t>
            </w:r>
          </w:p>
        </w:tc>
        <w:tc>
          <w:tcPr>
            <w:tcW w:w="1080" w:type="dxa"/>
            <w:tcBorders>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30310</w:t>
            </w:r>
          </w:p>
        </w:tc>
        <w:tc>
          <w:tcPr>
            <w:tcW w:w="274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个人农业生产补贴</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30231</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公务用车运行维护费</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89.30</w:t>
            </w:r>
          </w:p>
        </w:tc>
        <w:tc>
          <w:tcPr>
            <w:tcW w:w="660" w:type="dxa"/>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39999</w:t>
            </w:r>
          </w:p>
        </w:tc>
        <w:tc>
          <w:tcPr>
            <w:tcW w:w="2760"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资本性赠与</w:t>
            </w:r>
          </w:p>
        </w:tc>
        <w:tc>
          <w:tcPr>
            <w:tcW w:w="1080" w:type="dxa"/>
            <w:tcBorders>
              <w:bottom w:val="single" w:color="000000" w:sz="4" w:space="0"/>
              <w:right w:val="single" w:color="000000" w:sz="4" w:space="0"/>
            </w:tcBorders>
            <w:vAlign w:val="center"/>
          </w:tcPr>
          <w:p>
            <w:pPr>
              <w:jc w:val="right"/>
              <w:rPr>
                <w:rFonts w:ascii="仿宋" w:hAnsi="仿宋" w:eastAsia="仿宋" w:cs="Arial"/>
                <w:sz w:val="18"/>
                <w:szCs w:val="18"/>
              </w:rPr>
            </w:pP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30311</w:t>
            </w:r>
          </w:p>
        </w:tc>
        <w:tc>
          <w:tcPr>
            <w:tcW w:w="274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代缴社会保险费</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30239</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其他交通费用</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516.97</w:t>
            </w:r>
          </w:p>
        </w:tc>
        <w:tc>
          <w:tcPr>
            <w:tcW w:w="660"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2760" w:type="dxa"/>
            <w:gridSpan w:val="2"/>
            <w:tcBorders>
              <w:bottom w:val="single" w:color="000000" w:sz="4" w:space="0"/>
              <w:right w:val="single" w:color="000000" w:sz="4" w:space="0"/>
            </w:tcBorders>
            <w:vAlign w:val="center"/>
          </w:tcPr>
          <w:p>
            <w:pPr>
              <w:rPr>
                <w:rFonts w:ascii="仿宋" w:hAnsi="仿宋" w:eastAsia="仿宋"/>
                <w:sz w:val="18"/>
                <w:szCs w:val="18"/>
              </w:rPr>
            </w:pPr>
          </w:p>
        </w:tc>
        <w:tc>
          <w:tcPr>
            <w:tcW w:w="1080" w:type="dxa"/>
            <w:tcBorders>
              <w:bottom w:val="single" w:color="000000" w:sz="4" w:space="0"/>
              <w:right w:val="single" w:color="000000" w:sz="4" w:space="0"/>
            </w:tcBorders>
            <w:vAlign w:val="center"/>
          </w:tcPr>
          <w:p>
            <w:pPr>
              <w:rPr>
                <w:rFonts w:ascii="仿宋" w:hAnsi="仿宋" w:eastAsia="仿宋"/>
                <w:sz w:val="18"/>
                <w:szCs w:val="18"/>
              </w:rPr>
            </w:pP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30399</w:t>
            </w:r>
          </w:p>
        </w:tc>
        <w:tc>
          <w:tcPr>
            <w:tcW w:w="274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其他对个人和家庭的补助</w:t>
            </w:r>
          </w:p>
        </w:tc>
        <w:tc>
          <w:tcPr>
            <w:tcW w:w="1290" w:type="dxa"/>
            <w:gridSpan w:val="2"/>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34.25</w:t>
            </w: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30240</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税金及附加费用</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p>
        </w:tc>
        <w:tc>
          <w:tcPr>
            <w:tcW w:w="660"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2760" w:type="dxa"/>
            <w:gridSpan w:val="2"/>
            <w:tcBorders>
              <w:bottom w:val="single" w:color="000000" w:sz="4" w:space="0"/>
              <w:right w:val="single" w:color="000000" w:sz="4" w:space="0"/>
            </w:tcBorders>
            <w:vAlign w:val="center"/>
          </w:tcPr>
          <w:p>
            <w:pPr>
              <w:rPr>
                <w:rFonts w:ascii="仿宋" w:hAnsi="仿宋" w:eastAsia="仿宋"/>
                <w:sz w:val="18"/>
                <w:szCs w:val="18"/>
              </w:rPr>
            </w:pPr>
          </w:p>
        </w:tc>
        <w:tc>
          <w:tcPr>
            <w:tcW w:w="1080" w:type="dxa"/>
            <w:tcBorders>
              <w:bottom w:val="single" w:color="000000" w:sz="4" w:space="0"/>
              <w:right w:val="single" w:color="000000" w:sz="4" w:space="0"/>
            </w:tcBorders>
            <w:vAlign w:val="center"/>
          </w:tcPr>
          <w:p>
            <w:pPr>
              <w:rPr>
                <w:rFonts w:ascii="仿宋" w:hAnsi="仿宋" w:eastAsia="仿宋"/>
                <w:sz w:val="18"/>
                <w:szCs w:val="18"/>
              </w:rPr>
            </w:pPr>
          </w:p>
        </w:tc>
      </w:tr>
      <w:tr>
        <w:tblPrEx>
          <w:tblCellMar>
            <w:top w:w="15" w:type="dxa"/>
            <w:left w:w="15" w:type="dxa"/>
            <w:bottom w:w="15" w:type="dxa"/>
            <w:right w:w="15" w:type="dxa"/>
          </w:tblCellMar>
        </w:tblPrEx>
        <w:trPr>
          <w:gridAfter w:val="2"/>
          <w:wAfter w:w="575" w:type="dxa"/>
          <w:trHeight w:val="375" w:hRule="atLeast"/>
        </w:trPr>
        <w:tc>
          <w:tcPr>
            <w:tcW w:w="945" w:type="dxa"/>
            <w:gridSpan w:val="3"/>
            <w:tcBorders>
              <w:left w:val="single" w:color="000000" w:sz="4" w:space="0"/>
              <w:bottom w:val="single" w:color="000000" w:sz="4" w:space="0"/>
              <w:right w:val="single" w:color="000000" w:sz="4" w:space="0"/>
            </w:tcBorders>
            <w:vAlign w:val="center"/>
          </w:tcPr>
          <w:p>
            <w:pPr>
              <w:jc w:val="right"/>
              <w:rPr>
                <w:rFonts w:ascii="仿宋" w:hAnsi="仿宋" w:eastAsia="仿宋"/>
                <w:sz w:val="20"/>
                <w:szCs w:val="20"/>
              </w:rPr>
            </w:pPr>
          </w:p>
        </w:tc>
        <w:tc>
          <w:tcPr>
            <w:tcW w:w="2745" w:type="dxa"/>
            <w:gridSpan w:val="2"/>
            <w:tcBorders>
              <w:bottom w:val="single" w:color="000000" w:sz="4" w:space="0"/>
              <w:right w:val="single" w:color="000000" w:sz="4" w:space="0"/>
            </w:tcBorders>
            <w:vAlign w:val="center"/>
          </w:tcPr>
          <w:p>
            <w:pPr>
              <w:rPr>
                <w:rFonts w:ascii="仿宋" w:hAnsi="仿宋" w:eastAsia="仿宋"/>
                <w:sz w:val="20"/>
                <w:szCs w:val="20"/>
              </w:rPr>
            </w:pPr>
          </w:p>
        </w:tc>
        <w:tc>
          <w:tcPr>
            <w:tcW w:w="1290" w:type="dxa"/>
            <w:gridSpan w:val="2"/>
            <w:tcBorders>
              <w:bottom w:val="single" w:color="000000" w:sz="4" w:space="0"/>
              <w:right w:val="single" w:color="000000" w:sz="4" w:space="0"/>
            </w:tcBorders>
            <w:vAlign w:val="center"/>
          </w:tcPr>
          <w:p>
            <w:pPr>
              <w:rPr>
                <w:rFonts w:ascii="仿宋" w:hAnsi="仿宋" w:eastAsia="仿宋"/>
                <w:sz w:val="18"/>
                <w:szCs w:val="18"/>
              </w:rPr>
            </w:pPr>
          </w:p>
        </w:tc>
        <w:tc>
          <w:tcPr>
            <w:tcW w:w="945" w:type="dxa"/>
            <w:gridSpan w:val="2"/>
            <w:tcBorders>
              <w:top w:val="nil"/>
              <w:left w:val="nil"/>
              <w:bottom w:val="single" w:color="000000" w:sz="4" w:space="0"/>
              <w:right w:val="single" w:color="000000"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30299</w:t>
            </w:r>
          </w:p>
        </w:tc>
        <w:tc>
          <w:tcPr>
            <w:tcW w:w="2385" w:type="dxa"/>
            <w:gridSpan w:val="2"/>
            <w:tcBorders>
              <w:bottom w:val="single" w:color="000000" w:sz="4" w:space="0"/>
              <w:right w:val="single" w:color="000000" w:sz="4" w:space="0"/>
            </w:tcBorders>
            <w:vAlign w:val="center"/>
          </w:tcPr>
          <w:p>
            <w:pPr>
              <w:rPr>
                <w:rFonts w:ascii="仿宋" w:hAnsi="仿宋" w:eastAsia="仿宋" w:cs="Arial"/>
                <w:sz w:val="18"/>
                <w:szCs w:val="18"/>
              </w:rPr>
            </w:pPr>
            <w:r>
              <w:rPr>
                <w:rFonts w:hint="eastAsia" w:ascii="仿宋" w:hAnsi="仿宋" w:eastAsia="仿宋" w:cs="Arial"/>
                <w:sz w:val="18"/>
                <w:szCs w:val="18"/>
              </w:rPr>
              <w:t xml:space="preserve">  其他商品和服务支出</w:t>
            </w:r>
          </w:p>
        </w:tc>
        <w:tc>
          <w:tcPr>
            <w:tcW w:w="1185" w:type="dxa"/>
            <w:gridSpan w:val="4"/>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62.45</w:t>
            </w:r>
          </w:p>
        </w:tc>
        <w:tc>
          <w:tcPr>
            <w:tcW w:w="660" w:type="dxa"/>
            <w:tcBorders>
              <w:bottom w:val="single" w:color="000000" w:sz="4" w:space="0"/>
              <w:right w:val="single" w:color="000000" w:sz="4" w:space="0"/>
            </w:tcBorders>
            <w:vAlign w:val="center"/>
          </w:tcPr>
          <w:p>
            <w:pPr>
              <w:jc w:val="right"/>
              <w:rPr>
                <w:rFonts w:ascii="仿宋" w:hAnsi="仿宋" w:eastAsia="仿宋" w:cs="Arial"/>
                <w:sz w:val="18"/>
                <w:szCs w:val="18"/>
              </w:rPr>
            </w:pPr>
          </w:p>
        </w:tc>
        <w:tc>
          <w:tcPr>
            <w:tcW w:w="2760" w:type="dxa"/>
            <w:gridSpan w:val="2"/>
            <w:tcBorders>
              <w:bottom w:val="single" w:color="000000" w:sz="4" w:space="0"/>
              <w:right w:val="single" w:color="000000" w:sz="4" w:space="0"/>
            </w:tcBorders>
            <w:vAlign w:val="center"/>
          </w:tcPr>
          <w:p>
            <w:pPr>
              <w:rPr>
                <w:rFonts w:ascii="仿宋" w:hAnsi="仿宋" w:eastAsia="仿宋"/>
                <w:sz w:val="18"/>
                <w:szCs w:val="18"/>
              </w:rPr>
            </w:pPr>
          </w:p>
        </w:tc>
        <w:tc>
          <w:tcPr>
            <w:tcW w:w="1080" w:type="dxa"/>
            <w:tcBorders>
              <w:bottom w:val="single" w:color="000000" w:sz="4" w:space="0"/>
              <w:right w:val="single" w:color="000000" w:sz="4" w:space="0"/>
            </w:tcBorders>
            <w:vAlign w:val="center"/>
          </w:tcPr>
          <w:p>
            <w:pPr>
              <w:rPr>
                <w:rFonts w:ascii="仿宋" w:hAnsi="仿宋" w:eastAsia="仿宋"/>
                <w:sz w:val="18"/>
                <w:szCs w:val="18"/>
              </w:rPr>
            </w:pPr>
          </w:p>
        </w:tc>
      </w:tr>
      <w:tr>
        <w:tblPrEx>
          <w:tblCellMar>
            <w:top w:w="15" w:type="dxa"/>
            <w:left w:w="15" w:type="dxa"/>
            <w:bottom w:w="15" w:type="dxa"/>
            <w:right w:w="15" w:type="dxa"/>
          </w:tblCellMar>
        </w:tblPrEx>
        <w:trPr>
          <w:gridAfter w:val="2"/>
          <w:wAfter w:w="575" w:type="dxa"/>
          <w:trHeight w:val="375" w:hRule="atLeast"/>
        </w:trPr>
        <w:tc>
          <w:tcPr>
            <w:tcW w:w="3690" w:type="dxa"/>
            <w:gridSpan w:val="5"/>
            <w:tcBorders>
              <w:left w:val="single" w:color="000000" w:sz="4" w:space="0"/>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人员经费合计</w:t>
            </w:r>
          </w:p>
        </w:tc>
        <w:tc>
          <w:tcPr>
            <w:tcW w:w="1290" w:type="dxa"/>
            <w:gridSpan w:val="2"/>
            <w:tcBorders>
              <w:bottom w:val="single" w:color="000000" w:sz="4" w:space="0"/>
              <w:right w:val="single" w:color="000000" w:sz="4" w:space="0"/>
            </w:tcBorders>
            <w:vAlign w:val="center"/>
          </w:tcPr>
          <w:p>
            <w:pPr>
              <w:jc w:val="right"/>
              <w:rPr>
                <w:rFonts w:ascii="仿宋" w:hAnsi="仿宋" w:eastAsia="仿宋" w:cs="Arial"/>
                <w:sz w:val="18"/>
                <w:szCs w:val="18"/>
              </w:rPr>
            </w:pPr>
            <w:r>
              <w:rPr>
                <w:rFonts w:ascii="仿宋" w:hAnsi="仿宋" w:eastAsia="仿宋" w:cs="Arial"/>
                <w:sz w:val="18"/>
                <w:szCs w:val="18"/>
              </w:rPr>
              <w:t>7822.56</w:t>
            </w:r>
          </w:p>
        </w:tc>
        <w:tc>
          <w:tcPr>
            <w:tcW w:w="7935" w:type="dxa"/>
            <w:gridSpan w:val="11"/>
            <w:tcBorders>
              <w:bottom w:val="single" w:color="000000" w:sz="4" w:space="0"/>
              <w:right w:val="single" w:color="000000" w:sz="4" w:space="0"/>
            </w:tcBorders>
            <w:vAlign w:val="center"/>
          </w:tcPr>
          <w:p>
            <w:pPr>
              <w:jc w:val="center"/>
              <w:rPr>
                <w:rFonts w:ascii="仿宋" w:hAnsi="仿宋" w:eastAsia="仿宋" w:cs="Arial"/>
                <w:sz w:val="18"/>
                <w:szCs w:val="18"/>
              </w:rPr>
            </w:pPr>
            <w:r>
              <w:rPr>
                <w:rFonts w:hint="eastAsia" w:ascii="仿宋" w:hAnsi="仿宋" w:eastAsia="仿宋" w:cs="Arial"/>
                <w:sz w:val="18"/>
                <w:szCs w:val="18"/>
              </w:rPr>
              <w:t>公用经费合计</w:t>
            </w:r>
          </w:p>
        </w:tc>
        <w:tc>
          <w:tcPr>
            <w:tcW w:w="1080" w:type="dxa"/>
            <w:tcBorders>
              <w:top w:val="nil"/>
              <w:left w:val="nil"/>
              <w:bottom w:val="single" w:color="000000" w:sz="4" w:space="0"/>
              <w:right w:val="single" w:color="000000" w:sz="4" w:space="0"/>
            </w:tcBorders>
            <w:shd w:val="clear" w:color="auto" w:fill="auto"/>
            <w:vAlign w:val="center"/>
          </w:tcPr>
          <w:p>
            <w:pPr>
              <w:jc w:val="right"/>
              <w:rPr>
                <w:rFonts w:ascii="仿宋" w:hAnsi="仿宋" w:eastAsia="仿宋" w:cs="Arial"/>
                <w:color w:val="000000"/>
                <w:sz w:val="18"/>
                <w:szCs w:val="18"/>
              </w:rPr>
            </w:pPr>
            <w:r>
              <w:rPr>
                <w:rFonts w:hint="eastAsia" w:ascii="仿宋" w:hAnsi="仿宋" w:eastAsia="仿宋" w:cs="Arial"/>
                <w:color w:val="000000"/>
                <w:sz w:val="18"/>
                <w:szCs w:val="18"/>
              </w:rPr>
              <w:t>2,284.13</w:t>
            </w:r>
          </w:p>
        </w:tc>
      </w:tr>
    </w:tbl>
    <w:p>
      <w:pPr>
        <w:spacing w:line="200" w:lineRule="exact"/>
        <w:rPr>
          <w:rFonts w:ascii="仿宋" w:hAnsi="仿宋" w:eastAsia="仿宋"/>
          <w:sz w:val="20"/>
          <w:szCs w:val="20"/>
        </w:rPr>
      </w:pPr>
    </w:p>
    <w:p>
      <w:pPr>
        <w:spacing w:line="200" w:lineRule="exact"/>
        <w:rPr>
          <w:rFonts w:ascii="仿宋" w:hAnsi="仿宋" w:eastAsia="仿宋"/>
          <w:sz w:val="20"/>
          <w:szCs w:val="20"/>
        </w:rPr>
      </w:pPr>
    </w:p>
    <w:p>
      <w:pPr>
        <w:spacing w:line="200" w:lineRule="exact"/>
        <w:rPr>
          <w:rFonts w:ascii="仿宋" w:hAnsi="仿宋" w:eastAsia="仿宋"/>
          <w:sz w:val="20"/>
          <w:szCs w:val="20"/>
        </w:rPr>
      </w:pPr>
    </w:p>
    <w:p>
      <w:pPr>
        <w:spacing w:line="200" w:lineRule="exact"/>
        <w:rPr>
          <w:rFonts w:ascii="仿宋" w:hAnsi="仿宋" w:eastAsia="仿宋"/>
          <w:sz w:val="20"/>
          <w:szCs w:val="20"/>
        </w:rPr>
      </w:pPr>
    </w:p>
    <w:p>
      <w:pPr>
        <w:spacing w:line="200" w:lineRule="exact"/>
        <w:rPr>
          <w:rFonts w:ascii="仿宋" w:hAnsi="仿宋" w:eastAsia="仿宋"/>
          <w:sz w:val="20"/>
          <w:szCs w:val="20"/>
        </w:rPr>
      </w:pPr>
    </w:p>
    <w:p>
      <w:pPr>
        <w:spacing w:line="251" w:lineRule="exact"/>
        <w:rPr>
          <w:rFonts w:ascii="仿宋" w:hAnsi="仿宋" w:eastAsia="仿宋" w:cs="宋体"/>
        </w:rPr>
      </w:pPr>
      <w:r>
        <w:rPr>
          <w:rFonts w:hint="eastAsia" w:ascii="仿宋" w:hAnsi="仿宋" w:eastAsia="仿宋" w:cs="宋体"/>
        </w:rPr>
        <w:t>注：本表反映部门本年度一般公共预算财政拨款基本支出明细情况。</w:t>
      </w:r>
    </w:p>
    <w:p>
      <w:pPr>
        <w:spacing w:line="200" w:lineRule="exact"/>
        <w:rPr>
          <w:rFonts w:ascii="仿宋" w:hAnsi="仿宋" w:eastAsia="仿宋"/>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0" w:lineRule="exact"/>
        <w:ind w:right="20"/>
        <w:rPr>
          <w:sz w:val="20"/>
          <w:szCs w:val="20"/>
        </w:rPr>
      </w:pPr>
      <w:bookmarkStart w:id="14" w:name="page21"/>
      <w:bookmarkEnd w:id="14"/>
      <w:bookmarkStart w:id="15" w:name="page19"/>
      <w:bookmarkEnd w:id="15"/>
      <w:bookmarkStart w:id="16" w:name="page22"/>
      <w:bookmarkEnd w:id="16"/>
    </w:p>
    <w:tbl>
      <w:tblPr>
        <w:tblStyle w:val="4"/>
        <w:tblW w:w="14368" w:type="dxa"/>
        <w:tblInd w:w="-216" w:type="dxa"/>
        <w:tblLayout w:type="fixed"/>
        <w:tblCellMar>
          <w:top w:w="0" w:type="dxa"/>
          <w:left w:w="0" w:type="dxa"/>
          <w:bottom w:w="0" w:type="dxa"/>
          <w:right w:w="0" w:type="dxa"/>
        </w:tblCellMar>
      </w:tblPr>
      <w:tblGrid>
        <w:gridCol w:w="98"/>
        <w:gridCol w:w="1022"/>
        <w:gridCol w:w="38"/>
        <w:gridCol w:w="1082"/>
        <w:gridCol w:w="1120"/>
        <w:gridCol w:w="58"/>
        <w:gridCol w:w="1062"/>
        <w:gridCol w:w="838"/>
        <w:gridCol w:w="282"/>
        <w:gridCol w:w="678"/>
        <w:gridCol w:w="526"/>
        <w:gridCol w:w="234"/>
        <w:gridCol w:w="900"/>
        <w:gridCol w:w="960"/>
        <w:gridCol w:w="316"/>
        <w:gridCol w:w="1134"/>
        <w:gridCol w:w="530"/>
        <w:gridCol w:w="604"/>
        <w:gridCol w:w="956"/>
        <w:gridCol w:w="178"/>
        <w:gridCol w:w="1276"/>
        <w:gridCol w:w="446"/>
        <w:gridCol w:w="30"/>
      </w:tblGrid>
      <w:tr>
        <w:tblPrEx>
          <w:tblCellMar>
            <w:top w:w="0" w:type="dxa"/>
            <w:left w:w="0" w:type="dxa"/>
            <w:bottom w:w="0" w:type="dxa"/>
            <w:right w:w="0" w:type="dxa"/>
          </w:tblCellMar>
        </w:tblPrEx>
        <w:trPr>
          <w:gridBefore w:val="1"/>
          <w:wBefore w:w="98" w:type="dxa"/>
          <w:trHeight w:val="251" w:hRule="atLeast"/>
        </w:trPr>
        <w:tc>
          <w:tcPr>
            <w:tcW w:w="1060" w:type="dxa"/>
            <w:gridSpan w:val="2"/>
            <w:vAlign w:val="bottom"/>
          </w:tcPr>
          <w:p>
            <w:pPr>
              <w:rPr>
                <w:sz w:val="21"/>
                <w:szCs w:val="21"/>
              </w:rPr>
            </w:pPr>
          </w:p>
        </w:tc>
        <w:tc>
          <w:tcPr>
            <w:tcW w:w="2260" w:type="dxa"/>
            <w:gridSpan w:val="3"/>
            <w:vAlign w:val="bottom"/>
          </w:tcPr>
          <w:p>
            <w:pPr>
              <w:rPr>
                <w:sz w:val="21"/>
                <w:szCs w:val="21"/>
              </w:rPr>
            </w:pPr>
          </w:p>
        </w:tc>
        <w:tc>
          <w:tcPr>
            <w:tcW w:w="1900" w:type="dxa"/>
            <w:gridSpan w:val="2"/>
            <w:vAlign w:val="bottom"/>
          </w:tcPr>
          <w:p>
            <w:pPr>
              <w:rPr>
                <w:sz w:val="21"/>
                <w:szCs w:val="21"/>
              </w:rPr>
            </w:pPr>
          </w:p>
        </w:tc>
        <w:tc>
          <w:tcPr>
            <w:tcW w:w="960" w:type="dxa"/>
            <w:gridSpan w:val="2"/>
            <w:vAlign w:val="bottom"/>
          </w:tcPr>
          <w:p>
            <w:pPr>
              <w:rPr>
                <w:sz w:val="21"/>
                <w:szCs w:val="21"/>
              </w:rPr>
            </w:pPr>
          </w:p>
        </w:tc>
        <w:tc>
          <w:tcPr>
            <w:tcW w:w="760" w:type="dxa"/>
            <w:gridSpan w:val="2"/>
            <w:vAlign w:val="bottom"/>
          </w:tcPr>
          <w:p>
            <w:pPr>
              <w:rPr>
                <w:sz w:val="21"/>
                <w:szCs w:val="21"/>
              </w:rPr>
            </w:pPr>
          </w:p>
        </w:tc>
        <w:tc>
          <w:tcPr>
            <w:tcW w:w="1860" w:type="dxa"/>
            <w:gridSpan w:val="2"/>
            <w:vAlign w:val="bottom"/>
          </w:tcPr>
          <w:p>
            <w:pPr>
              <w:rPr>
                <w:sz w:val="21"/>
                <w:szCs w:val="21"/>
              </w:rPr>
            </w:pPr>
          </w:p>
        </w:tc>
        <w:tc>
          <w:tcPr>
            <w:tcW w:w="1980" w:type="dxa"/>
            <w:gridSpan w:val="3"/>
            <w:vAlign w:val="bottom"/>
          </w:tcPr>
          <w:p>
            <w:pPr>
              <w:rPr>
                <w:sz w:val="21"/>
                <w:szCs w:val="21"/>
              </w:rPr>
            </w:pPr>
          </w:p>
        </w:tc>
        <w:tc>
          <w:tcPr>
            <w:tcW w:w="1560" w:type="dxa"/>
            <w:gridSpan w:val="2"/>
            <w:vAlign w:val="bottom"/>
          </w:tcPr>
          <w:p>
            <w:pPr>
              <w:rPr>
                <w:sz w:val="21"/>
                <w:szCs w:val="21"/>
              </w:rPr>
            </w:pPr>
          </w:p>
        </w:tc>
        <w:tc>
          <w:tcPr>
            <w:tcW w:w="1900" w:type="dxa"/>
            <w:gridSpan w:val="3"/>
            <w:vAlign w:val="bottom"/>
          </w:tcPr>
          <w:p>
            <w:pPr>
              <w:spacing w:line="251" w:lineRule="exact"/>
              <w:ind w:right="10"/>
              <w:jc w:val="right"/>
              <w:rPr>
                <w:sz w:val="20"/>
                <w:szCs w:val="20"/>
              </w:rPr>
            </w:pPr>
          </w:p>
        </w:tc>
        <w:tc>
          <w:tcPr>
            <w:tcW w:w="30" w:type="dxa"/>
            <w:vAlign w:val="bottom"/>
          </w:tcPr>
          <w:p>
            <w:pPr>
              <w:rPr>
                <w:sz w:val="1"/>
                <w:szCs w:val="1"/>
              </w:rPr>
            </w:pPr>
          </w:p>
        </w:tc>
      </w:tr>
      <w:tr>
        <w:tblPrEx>
          <w:tblCellMar>
            <w:top w:w="0" w:type="dxa"/>
            <w:left w:w="108" w:type="dxa"/>
            <w:bottom w:w="0" w:type="dxa"/>
            <w:right w:w="108" w:type="dxa"/>
          </w:tblCellMar>
        </w:tblPrEx>
        <w:trPr>
          <w:gridAfter w:val="2"/>
          <w:wAfter w:w="476" w:type="dxa"/>
          <w:trHeight w:val="80" w:hRule="atLeast"/>
          <w:jc w:val="center"/>
        </w:trPr>
        <w:tc>
          <w:tcPr>
            <w:tcW w:w="13892" w:type="dxa"/>
            <w:gridSpan w:val="21"/>
            <w:tcBorders>
              <w:top w:val="nil"/>
              <w:left w:val="nil"/>
              <w:bottom w:val="nil"/>
              <w:right w:val="nil"/>
            </w:tcBorders>
            <w:shd w:val="clear" w:color="auto" w:fill="auto"/>
            <w:noWrap/>
            <w:vAlign w:val="bottom"/>
          </w:tcPr>
          <w:p>
            <w:pPr>
              <w:jc w:val="center"/>
              <w:rPr>
                <w:rFonts w:ascii="黑体" w:hAnsi="黑体" w:eastAsia="黑体" w:cs="Arial"/>
                <w:color w:val="000000"/>
                <w:sz w:val="44"/>
                <w:szCs w:val="44"/>
              </w:rPr>
            </w:pPr>
            <w:r>
              <w:rPr>
                <w:rFonts w:hint="eastAsia" w:ascii="黑体" w:hAnsi="黑体" w:eastAsia="黑体" w:cs="Arial"/>
                <w:color w:val="000000"/>
                <w:sz w:val="30"/>
                <w:szCs w:val="30"/>
              </w:rPr>
              <w:t>一般公共预算财政拨款“三公”经费支出决算表</w:t>
            </w:r>
          </w:p>
        </w:tc>
      </w:tr>
      <w:tr>
        <w:tblPrEx>
          <w:tblCellMar>
            <w:top w:w="0" w:type="dxa"/>
            <w:left w:w="108" w:type="dxa"/>
            <w:bottom w:w="0" w:type="dxa"/>
            <w:right w:w="108" w:type="dxa"/>
          </w:tblCellMar>
        </w:tblPrEx>
        <w:trPr>
          <w:gridAfter w:val="2"/>
          <w:wAfter w:w="476" w:type="dxa"/>
          <w:trHeight w:val="255" w:hRule="atLeast"/>
          <w:jc w:val="center"/>
        </w:trPr>
        <w:tc>
          <w:tcPr>
            <w:tcW w:w="1120" w:type="dxa"/>
            <w:gridSpan w:val="2"/>
            <w:tcBorders>
              <w:top w:val="nil"/>
              <w:left w:val="nil"/>
              <w:bottom w:val="nil"/>
              <w:right w:val="nil"/>
            </w:tcBorders>
            <w:shd w:val="clear" w:color="auto" w:fill="auto"/>
            <w:noWrap/>
            <w:vAlign w:val="bottom"/>
          </w:tcPr>
          <w:p>
            <w:pPr>
              <w:jc w:val="center"/>
              <w:rPr>
                <w:rFonts w:ascii="仿宋" w:hAnsi="仿宋" w:eastAsia="仿宋" w:cs="Arial"/>
                <w:color w:val="000000"/>
              </w:rPr>
            </w:pPr>
          </w:p>
        </w:tc>
        <w:tc>
          <w:tcPr>
            <w:tcW w:w="1120" w:type="dxa"/>
            <w:gridSpan w:val="2"/>
            <w:tcBorders>
              <w:top w:val="nil"/>
              <w:left w:val="nil"/>
              <w:bottom w:val="nil"/>
              <w:right w:val="nil"/>
            </w:tcBorders>
            <w:shd w:val="clear" w:color="auto" w:fill="auto"/>
            <w:noWrap/>
            <w:vAlign w:val="bottom"/>
          </w:tcPr>
          <w:p>
            <w:pPr>
              <w:rPr>
                <w:rFonts w:ascii="仿宋" w:hAnsi="仿宋" w:eastAsia="仿宋"/>
              </w:rPr>
            </w:pPr>
          </w:p>
        </w:tc>
        <w:tc>
          <w:tcPr>
            <w:tcW w:w="1120" w:type="dxa"/>
            <w:tcBorders>
              <w:top w:val="nil"/>
              <w:left w:val="nil"/>
              <w:bottom w:val="nil"/>
              <w:right w:val="nil"/>
            </w:tcBorders>
            <w:shd w:val="clear" w:color="auto" w:fill="auto"/>
            <w:noWrap/>
            <w:vAlign w:val="bottom"/>
          </w:tcPr>
          <w:p>
            <w:pPr>
              <w:rPr>
                <w:rFonts w:ascii="仿宋" w:hAnsi="仿宋" w:eastAsia="仿宋"/>
              </w:rPr>
            </w:pPr>
          </w:p>
        </w:tc>
        <w:tc>
          <w:tcPr>
            <w:tcW w:w="1120" w:type="dxa"/>
            <w:gridSpan w:val="2"/>
            <w:tcBorders>
              <w:top w:val="nil"/>
              <w:left w:val="nil"/>
              <w:bottom w:val="nil"/>
              <w:right w:val="nil"/>
            </w:tcBorders>
            <w:shd w:val="clear" w:color="auto" w:fill="auto"/>
            <w:noWrap/>
            <w:vAlign w:val="bottom"/>
          </w:tcPr>
          <w:p>
            <w:pPr>
              <w:rPr>
                <w:rFonts w:ascii="仿宋" w:hAnsi="仿宋" w:eastAsia="仿宋"/>
              </w:rPr>
            </w:pPr>
          </w:p>
        </w:tc>
        <w:tc>
          <w:tcPr>
            <w:tcW w:w="1120" w:type="dxa"/>
            <w:gridSpan w:val="2"/>
            <w:tcBorders>
              <w:top w:val="nil"/>
              <w:left w:val="nil"/>
              <w:bottom w:val="nil"/>
              <w:right w:val="nil"/>
            </w:tcBorders>
            <w:shd w:val="clear" w:color="auto" w:fill="auto"/>
            <w:noWrap/>
            <w:vAlign w:val="bottom"/>
          </w:tcPr>
          <w:p>
            <w:pPr>
              <w:rPr>
                <w:rFonts w:ascii="仿宋" w:hAnsi="仿宋" w:eastAsia="仿宋"/>
              </w:rPr>
            </w:pPr>
          </w:p>
        </w:tc>
        <w:tc>
          <w:tcPr>
            <w:tcW w:w="1204" w:type="dxa"/>
            <w:gridSpan w:val="2"/>
            <w:tcBorders>
              <w:top w:val="nil"/>
              <w:left w:val="nil"/>
              <w:bottom w:val="nil"/>
              <w:right w:val="nil"/>
            </w:tcBorders>
            <w:shd w:val="clear" w:color="auto" w:fill="auto"/>
            <w:noWrap/>
            <w:vAlign w:val="bottom"/>
          </w:tcPr>
          <w:p>
            <w:pPr>
              <w:rPr>
                <w:rFonts w:ascii="仿宋" w:hAnsi="仿宋" w:eastAsia="仿宋"/>
              </w:rPr>
            </w:pPr>
          </w:p>
        </w:tc>
        <w:tc>
          <w:tcPr>
            <w:tcW w:w="1134" w:type="dxa"/>
            <w:gridSpan w:val="2"/>
            <w:tcBorders>
              <w:top w:val="nil"/>
              <w:left w:val="nil"/>
              <w:bottom w:val="nil"/>
              <w:right w:val="nil"/>
            </w:tcBorders>
            <w:shd w:val="clear" w:color="auto" w:fill="auto"/>
            <w:noWrap/>
            <w:vAlign w:val="bottom"/>
          </w:tcPr>
          <w:p>
            <w:pPr>
              <w:rPr>
                <w:rFonts w:ascii="仿宋" w:hAnsi="仿宋" w:eastAsia="仿宋"/>
              </w:rPr>
            </w:pPr>
          </w:p>
        </w:tc>
        <w:tc>
          <w:tcPr>
            <w:tcW w:w="1276" w:type="dxa"/>
            <w:gridSpan w:val="2"/>
            <w:tcBorders>
              <w:top w:val="nil"/>
              <w:left w:val="nil"/>
              <w:bottom w:val="nil"/>
              <w:right w:val="nil"/>
            </w:tcBorders>
            <w:shd w:val="clear" w:color="auto" w:fill="auto"/>
            <w:noWrap/>
            <w:vAlign w:val="bottom"/>
          </w:tcPr>
          <w:p>
            <w:pPr>
              <w:rPr>
                <w:rFonts w:ascii="仿宋" w:hAnsi="仿宋" w:eastAsia="仿宋"/>
              </w:rPr>
            </w:pPr>
          </w:p>
        </w:tc>
        <w:tc>
          <w:tcPr>
            <w:tcW w:w="1134" w:type="dxa"/>
            <w:tcBorders>
              <w:top w:val="nil"/>
              <w:left w:val="nil"/>
              <w:bottom w:val="nil"/>
              <w:right w:val="nil"/>
            </w:tcBorders>
            <w:shd w:val="clear" w:color="auto" w:fill="auto"/>
            <w:noWrap/>
            <w:vAlign w:val="bottom"/>
          </w:tcPr>
          <w:p>
            <w:pPr>
              <w:rPr>
                <w:rFonts w:ascii="仿宋" w:hAnsi="仿宋" w:eastAsia="仿宋"/>
              </w:rPr>
            </w:pPr>
          </w:p>
        </w:tc>
        <w:tc>
          <w:tcPr>
            <w:tcW w:w="1134" w:type="dxa"/>
            <w:gridSpan w:val="2"/>
            <w:tcBorders>
              <w:top w:val="nil"/>
              <w:left w:val="nil"/>
              <w:bottom w:val="nil"/>
              <w:right w:val="nil"/>
            </w:tcBorders>
            <w:shd w:val="clear" w:color="auto" w:fill="auto"/>
            <w:noWrap/>
            <w:vAlign w:val="bottom"/>
          </w:tcPr>
          <w:p>
            <w:pPr>
              <w:rPr>
                <w:rFonts w:ascii="仿宋" w:hAnsi="仿宋" w:eastAsia="仿宋"/>
              </w:rPr>
            </w:pPr>
          </w:p>
        </w:tc>
        <w:tc>
          <w:tcPr>
            <w:tcW w:w="1134" w:type="dxa"/>
            <w:gridSpan w:val="2"/>
            <w:tcBorders>
              <w:top w:val="nil"/>
              <w:left w:val="nil"/>
              <w:bottom w:val="nil"/>
              <w:right w:val="nil"/>
            </w:tcBorders>
            <w:shd w:val="clear" w:color="auto" w:fill="auto"/>
            <w:noWrap/>
            <w:vAlign w:val="bottom"/>
          </w:tcPr>
          <w:p>
            <w:pPr>
              <w:rPr>
                <w:rFonts w:ascii="仿宋" w:hAnsi="仿宋" w:eastAsia="仿宋"/>
              </w:rPr>
            </w:pPr>
          </w:p>
        </w:tc>
        <w:tc>
          <w:tcPr>
            <w:tcW w:w="1276" w:type="dxa"/>
            <w:tcBorders>
              <w:top w:val="nil"/>
              <w:left w:val="nil"/>
              <w:bottom w:val="nil"/>
              <w:right w:val="nil"/>
            </w:tcBorders>
            <w:shd w:val="clear" w:color="auto" w:fill="auto"/>
            <w:noWrap/>
            <w:vAlign w:val="bottom"/>
          </w:tcPr>
          <w:p>
            <w:pPr>
              <w:jc w:val="right"/>
              <w:rPr>
                <w:rFonts w:ascii="仿宋" w:hAnsi="仿宋" w:eastAsia="仿宋" w:cs="Arial"/>
                <w:color w:val="000000"/>
              </w:rPr>
            </w:pPr>
            <w:r>
              <w:rPr>
                <w:rFonts w:hint="eastAsia" w:ascii="仿宋" w:hAnsi="仿宋" w:eastAsia="仿宋" w:cs="Arial"/>
                <w:color w:val="000000"/>
              </w:rPr>
              <w:t>公开07表</w:t>
            </w:r>
          </w:p>
        </w:tc>
      </w:tr>
      <w:tr>
        <w:tblPrEx>
          <w:tblCellMar>
            <w:top w:w="0" w:type="dxa"/>
            <w:left w:w="108" w:type="dxa"/>
            <w:bottom w:w="0" w:type="dxa"/>
            <w:right w:w="108" w:type="dxa"/>
          </w:tblCellMar>
        </w:tblPrEx>
        <w:trPr>
          <w:gridAfter w:val="2"/>
          <w:wAfter w:w="476" w:type="dxa"/>
          <w:trHeight w:val="255" w:hRule="atLeast"/>
          <w:jc w:val="center"/>
        </w:trPr>
        <w:tc>
          <w:tcPr>
            <w:tcW w:w="3360" w:type="dxa"/>
            <w:gridSpan w:val="5"/>
            <w:tcBorders>
              <w:top w:val="nil"/>
              <w:left w:val="nil"/>
              <w:bottom w:val="nil"/>
              <w:right w:val="nil"/>
            </w:tcBorders>
            <w:shd w:val="clear" w:color="auto" w:fill="auto"/>
            <w:noWrap/>
            <w:vAlign w:val="bottom"/>
          </w:tcPr>
          <w:p>
            <w:pPr>
              <w:rPr>
                <w:rFonts w:ascii="仿宋" w:hAnsi="仿宋" w:eastAsia="仿宋" w:cs="Arial"/>
                <w:color w:val="000000"/>
              </w:rPr>
            </w:pPr>
            <w:r>
              <w:rPr>
                <w:rFonts w:hint="eastAsia" w:ascii="仿宋" w:hAnsi="仿宋" w:eastAsia="仿宋" w:cs="Arial"/>
                <w:color w:val="000000"/>
              </w:rPr>
              <w:t>部门：国家统计局山西调查总队</w:t>
            </w:r>
          </w:p>
        </w:tc>
        <w:tc>
          <w:tcPr>
            <w:tcW w:w="1120" w:type="dxa"/>
            <w:gridSpan w:val="2"/>
            <w:tcBorders>
              <w:top w:val="nil"/>
              <w:left w:val="nil"/>
              <w:bottom w:val="nil"/>
              <w:right w:val="nil"/>
            </w:tcBorders>
            <w:shd w:val="clear" w:color="auto" w:fill="auto"/>
            <w:noWrap/>
            <w:vAlign w:val="bottom"/>
          </w:tcPr>
          <w:p>
            <w:pPr>
              <w:rPr>
                <w:rFonts w:ascii="仿宋" w:hAnsi="仿宋" w:eastAsia="仿宋" w:cs="Arial"/>
                <w:color w:val="000000"/>
              </w:rPr>
            </w:pPr>
          </w:p>
        </w:tc>
        <w:tc>
          <w:tcPr>
            <w:tcW w:w="1120" w:type="dxa"/>
            <w:gridSpan w:val="2"/>
            <w:tcBorders>
              <w:top w:val="nil"/>
              <w:left w:val="nil"/>
              <w:bottom w:val="nil"/>
              <w:right w:val="nil"/>
            </w:tcBorders>
            <w:shd w:val="clear" w:color="auto" w:fill="auto"/>
            <w:noWrap/>
            <w:vAlign w:val="bottom"/>
          </w:tcPr>
          <w:p>
            <w:pPr>
              <w:rPr>
                <w:rFonts w:ascii="仿宋" w:hAnsi="仿宋" w:eastAsia="仿宋"/>
              </w:rPr>
            </w:pPr>
          </w:p>
        </w:tc>
        <w:tc>
          <w:tcPr>
            <w:tcW w:w="1204" w:type="dxa"/>
            <w:gridSpan w:val="2"/>
            <w:tcBorders>
              <w:top w:val="nil"/>
              <w:left w:val="nil"/>
              <w:bottom w:val="nil"/>
              <w:right w:val="nil"/>
            </w:tcBorders>
            <w:shd w:val="clear" w:color="auto" w:fill="auto"/>
            <w:noWrap/>
            <w:vAlign w:val="bottom"/>
          </w:tcPr>
          <w:p>
            <w:pPr>
              <w:rPr>
                <w:rFonts w:ascii="仿宋" w:hAnsi="仿宋" w:eastAsia="仿宋"/>
              </w:rPr>
            </w:pPr>
          </w:p>
        </w:tc>
        <w:tc>
          <w:tcPr>
            <w:tcW w:w="1134" w:type="dxa"/>
            <w:gridSpan w:val="2"/>
            <w:tcBorders>
              <w:top w:val="nil"/>
              <w:left w:val="nil"/>
              <w:bottom w:val="nil"/>
              <w:right w:val="nil"/>
            </w:tcBorders>
            <w:shd w:val="clear" w:color="auto" w:fill="auto"/>
            <w:noWrap/>
            <w:vAlign w:val="bottom"/>
          </w:tcPr>
          <w:p>
            <w:pPr>
              <w:rPr>
                <w:rFonts w:ascii="仿宋" w:hAnsi="仿宋" w:eastAsia="仿宋"/>
              </w:rPr>
            </w:pPr>
          </w:p>
        </w:tc>
        <w:tc>
          <w:tcPr>
            <w:tcW w:w="1276" w:type="dxa"/>
            <w:gridSpan w:val="2"/>
            <w:tcBorders>
              <w:top w:val="nil"/>
              <w:left w:val="nil"/>
              <w:bottom w:val="nil"/>
              <w:right w:val="nil"/>
            </w:tcBorders>
            <w:shd w:val="clear" w:color="auto" w:fill="auto"/>
            <w:noWrap/>
            <w:vAlign w:val="bottom"/>
          </w:tcPr>
          <w:p>
            <w:pPr>
              <w:rPr>
                <w:rFonts w:ascii="仿宋" w:hAnsi="仿宋" w:eastAsia="仿宋"/>
              </w:rPr>
            </w:pPr>
          </w:p>
        </w:tc>
        <w:tc>
          <w:tcPr>
            <w:tcW w:w="1134" w:type="dxa"/>
            <w:tcBorders>
              <w:top w:val="nil"/>
              <w:left w:val="nil"/>
              <w:bottom w:val="nil"/>
              <w:right w:val="nil"/>
            </w:tcBorders>
            <w:shd w:val="clear" w:color="auto" w:fill="auto"/>
            <w:noWrap/>
            <w:vAlign w:val="bottom"/>
          </w:tcPr>
          <w:p>
            <w:pPr>
              <w:rPr>
                <w:rFonts w:ascii="仿宋" w:hAnsi="仿宋" w:eastAsia="仿宋"/>
              </w:rPr>
            </w:pPr>
          </w:p>
        </w:tc>
        <w:tc>
          <w:tcPr>
            <w:tcW w:w="1134" w:type="dxa"/>
            <w:gridSpan w:val="2"/>
            <w:tcBorders>
              <w:top w:val="nil"/>
              <w:left w:val="nil"/>
              <w:bottom w:val="nil"/>
              <w:right w:val="nil"/>
            </w:tcBorders>
            <w:shd w:val="clear" w:color="auto" w:fill="auto"/>
            <w:noWrap/>
            <w:vAlign w:val="bottom"/>
          </w:tcPr>
          <w:p>
            <w:pPr>
              <w:rPr>
                <w:rFonts w:ascii="仿宋" w:hAnsi="仿宋" w:eastAsia="仿宋"/>
              </w:rPr>
            </w:pPr>
          </w:p>
        </w:tc>
        <w:tc>
          <w:tcPr>
            <w:tcW w:w="2410" w:type="dxa"/>
            <w:gridSpan w:val="3"/>
            <w:tcBorders>
              <w:top w:val="nil"/>
              <w:left w:val="nil"/>
              <w:bottom w:val="single" w:color="000000" w:sz="4" w:space="0"/>
              <w:right w:val="nil"/>
            </w:tcBorders>
            <w:shd w:val="clear" w:color="auto" w:fill="auto"/>
            <w:noWrap/>
            <w:vAlign w:val="bottom"/>
          </w:tcPr>
          <w:p>
            <w:pPr>
              <w:jc w:val="right"/>
              <w:rPr>
                <w:rFonts w:ascii="仿宋" w:hAnsi="仿宋" w:eastAsia="仿宋" w:cs="Arial"/>
                <w:color w:val="000000"/>
              </w:rPr>
            </w:pPr>
            <w:r>
              <w:rPr>
                <w:rFonts w:hint="eastAsia" w:ascii="仿宋" w:hAnsi="仿宋" w:eastAsia="仿宋" w:cs="Arial"/>
                <w:color w:val="000000"/>
              </w:rPr>
              <w:t>金额单位：万元</w:t>
            </w:r>
          </w:p>
        </w:tc>
      </w:tr>
      <w:tr>
        <w:tblPrEx>
          <w:tblCellMar>
            <w:top w:w="0" w:type="dxa"/>
            <w:left w:w="108" w:type="dxa"/>
            <w:bottom w:w="0" w:type="dxa"/>
            <w:right w:w="108" w:type="dxa"/>
          </w:tblCellMar>
        </w:tblPrEx>
        <w:trPr>
          <w:gridAfter w:val="2"/>
          <w:wAfter w:w="476" w:type="dxa"/>
          <w:trHeight w:val="308" w:hRule="atLeast"/>
          <w:jc w:val="center"/>
        </w:trPr>
        <w:tc>
          <w:tcPr>
            <w:tcW w:w="68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预算数</w:t>
            </w:r>
          </w:p>
        </w:tc>
        <w:tc>
          <w:tcPr>
            <w:tcW w:w="7088" w:type="dxa"/>
            <w:gridSpan w:val="10"/>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决算数</w:t>
            </w:r>
          </w:p>
        </w:tc>
      </w:tr>
      <w:tr>
        <w:tblPrEx>
          <w:tblCellMar>
            <w:top w:w="0" w:type="dxa"/>
            <w:left w:w="108" w:type="dxa"/>
            <w:bottom w:w="0" w:type="dxa"/>
            <w:right w:w="108" w:type="dxa"/>
          </w:tblCellMar>
        </w:tblPrEx>
        <w:trPr>
          <w:gridAfter w:val="2"/>
          <w:wAfter w:w="476" w:type="dxa"/>
          <w:trHeight w:val="308" w:hRule="atLeast"/>
          <w:jc w:val="center"/>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合计</w:t>
            </w:r>
          </w:p>
        </w:tc>
        <w:tc>
          <w:tcPr>
            <w:tcW w:w="1120"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因公出国（境）费</w:t>
            </w:r>
          </w:p>
        </w:tc>
        <w:tc>
          <w:tcPr>
            <w:tcW w:w="3360" w:type="dxa"/>
            <w:gridSpan w:val="5"/>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公务用车购置及运行费</w:t>
            </w:r>
          </w:p>
        </w:tc>
        <w:tc>
          <w:tcPr>
            <w:tcW w:w="1204"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公务接待费</w:t>
            </w:r>
          </w:p>
        </w:tc>
        <w:tc>
          <w:tcPr>
            <w:tcW w:w="1134"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合计</w:t>
            </w:r>
          </w:p>
        </w:tc>
        <w:tc>
          <w:tcPr>
            <w:tcW w:w="1276"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因公出国（境）费</w:t>
            </w:r>
          </w:p>
        </w:tc>
        <w:tc>
          <w:tcPr>
            <w:tcW w:w="3402" w:type="dxa"/>
            <w:gridSpan w:val="5"/>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公务用车购置及运行费</w:t>
            </w:r>
          </w:p>
        </w:tc>
        <w:tc>
          <w:tcPr>
            <w:tcW w:w="1276" w:type="dxa"/>
            <w:vMerge w:val="restart"/>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公务接待费</w:t>
            </w:r>
          </w:p>
        </w:tc>
      </w:tr>
      <w:tr>
        <w:tblPrEx>
          <w:tblCellMar>
            <w:top w:w="0" w:type="dxa"/>
            <w:left w:w="108" w:type="dxa"/>
            <w:bottom w:w="0" w:type="dxa"/>
            <w:right w:w="108" w:type="dxa"/>
          </w:tblCellMar>
        </w:tblPrEx>
        <w:trPr>
          <w:gridAfter w:val="2"/>
          <w:wAfter w:w="476" w:type="dxa"/>
          <w:trHeight w:val="615" w:hRule="atLeast"/>
          <w:jc w:val="center"/>
        </w:trPr>
        <w:tc>
          <w:tcPr>
            <w:tcW w:w="112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ascii="仿宋" w:hAnsi="仿宋" w:eastAsia="仿宋" w:cs="Arial"/>
                <w:color w:val="000000"/>
              </w:rPr>
            </w:pPr>
          </w:p>
        </w:tc>
        <w:tc>
          <w:tcPr>
            <w:tcW w:w="1120" w:type="dxa"/>
            <w:gridSpan w:val="2"/>
            <w:vMerge w:val="continue"/>
            <w:tcBorders>
              <w:top w:val="nil"/>
              <w:left w:val="nil"/>
              <w:bottom w:val="single" w:color="000000" w:sz="4" w:space="0"/>
              <w:right w:val="single" w:color="000000" w:sz="4" w:space="0"/>
            </w:tcBorders>
            <w:shd w:val="clear" w:color="auto" w:fill="auto"/>
            <w:vAlign w:val="center"/>
          </w:tcPr>
          <w:p>
            <w:pPr>
              <w:rPr>
                <w:rFonts w:ascii="仿宋" w:hAnsi="仿宋" w:eastAsia="仿宋" w:cs="Arial"/>
                <w:color w:val="000000"/>
              </w:rPr>
            </w:pPr>
          </w:p>
        </w:tc>
        <w:tc>
          <w:tcPr>
            <w:tcW w:w="1120"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小计</w:t>
            </w:r>
          </w:p>
        </w:tc>
        <w:tc>
          <w:tcPr>
            <w:tcW w:w="1120"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公务用车购置费</w:t>
            </w:r>
          </w:p>
        </w:tc>
        <w:tc>
          <w:tcPr>
            <w:tcW w:w="1120"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公务用车运行费</w:t>
            </w:r>
          </w:p>
        </w:tc>
        <w:tc>
          <w:tcPr>
            <w:tcW w:w="1204" w:type="dxa"/>
            <w:gridSpan w:val="2"/>
            <w:vMerge w:val="continue"/>
            <w:tcBorders>
              <w:top w:val="nil"/>
              <w:left w:val="nil"/>
              <w:bottom w:val="single" w:color="000000" w:sz="4" w:space="0"/>
              <w:right w:val="single" w:color="000000" w:sz="4" w:space="0"/>
            </w:tcBorders>
            <w:shd w:val="clear" w:color="auto" w:fill="auto"/>
            <w:vAlign w:val="center"/>
          </w:tcPr>
          <w:p>
            <w:pPr>
              <w:rPr>
                <w:rFonts w:ascii="仿宋" w:hAnsi="仿宋" w:eastAsia="仿宋" w:cs="Arial"/>
                <w:color w:val="000000"/>
              </w:rPr>
            </w:pPr>
          </w:p>
        </w:tc>
        <w:tc>
          <w:tcPr>
            <w:tcW w:w="1134" w:type="dxa"/>
            <w:gridSpan w:val="2"/>
            <w:vMerge w:val="continue"/>
            <w:tcBorders>
              <w:top w:val="nil"/>
              <w:left w:val="nil"/>
              <w:bottom w:val="single" w:color="000000" w:sz="4" w:space="0"/>
              <w:right w:val="single" w:color="000000" w:sz="4" w:space="0"/>
            </w:tcBorders>
            <w:shd w:val="clear" w:color="auto" w:fill="auto"/>
            <w:vAlign w:val="center"/>
          </w:tcPr>
          <w:p>
            <w:pPr>
              <w:rPr>
                <w:rFonts w:ascii="仿宋" w:hAnsi="仿宋" w:eastAsia="仿宋" w:cs="Arial"/>
                <w:color w:val="000000"/>
              </w:rPr>
            </w:pPr>
          </w:p>
        </w:tc>
        <w:tc>
          <w:tcPr>
            <w:tcW w:w="1276" w:type="dxa"/>
            <w:gridSpan w:val="2"/>
            <w:vMerge w:val="continue"/>
            <w:tcBorders>
              <w:top w:val="nil"/>
              <w:left w:val="nil"/>
              <w:bottom w:val="single" w:color="000000" w:sz="4" w:space="0"/>
              <w:right w:val="single" w:color="000000" w:sz="4" w:space="0"/>
            </w:tcBorders>
            <w:shd w:val="clear" w:color="auto" w:fill="auto"/>
            <w:vAlign w:val="center"/>
          </w:tcPr>
          <w:p>
            <w:pPr>
              <w:rPr>
                <w:rFonts w:ascii="仿宋" w:hAnsi="仿宋" w:eastAsia="仿宋" w:cs="Arial"/>
                <w:color w:val="000000"/>
              </w:rPr>
            </w:pPr>
          </w:p>
        </w:tc>
        <w:tc>
          <w:tcPr>
            <w:tcW w:w="1134"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小计</w:t>
            </w:r>
          </w:p>
        </w:tc>
        <w:tc>
          <w:tcPr>
            <w:tcW w:w="1134"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公务用车购置费</w:t>
            </w:r>
          </w:p>
        </w:tc>
        <w:tc>
          <w:tcPr>
            <w:tcW w:w="1134"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公务用车运行费</w:t>
            </w:r>
          </w:p>
        </w:tc>
        <w:tc>
          <w:tcPr>
            <w:tcW w:w="1276" w:type="dxa"/>
            <w:vMerge w:val="continue"/>
            <w:tcBorders>
              <w:top w:val="nil"/>
              <w:left w:val="nil"/>
              <w:bottom w:val="single" w:color="000000" w:sz="4" w:space="0"/>
              <w:right w:val="single" w:color="000000" w:sz="4" w:space="0"/>
            </w:tcBorders>
            <w:shd w:val="clear" w:color="auto" w:fill="auto"/>
            <w:vAlign w:val="center"/>
          </w:tcPr>
          <w:p>
            <w:pPr>
              <w:rPr>
                <w:rFonts w:ascii="仿宋" w:hAnsi="仿宋" w:eastAsia="仿宋" w:cs="Arial"/>
                <w:color w:val="000000"/>
              </w:rPr>
            </w:pPr>
          </w:p>
        </w:tc>
      </w:tr>
      <w:tr>
        <w:tblPrEx>
          <w:tblCellMar>
            <w:top w:w="0" w:type="dxa"/>
            <w:left w:w="108" w:type="dxa"/>
            <w:bottom w:w="0" w:type="dxa"/>
            <w:right w:w="108" w:type="dxa"/>
          </w:tblCellMar>
        </w:tblPrEx>
        <w:trPr>
          <w:gridAfter w:val="2"/>
          <w:wAfter w:w="476" w:type="dxa"/>
          <w:trHeight w:val="308" w:hRule="atLeast"/>
          <w:jc w:val="center"/>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1</w:t>
            </w:r>
          </w:p>
        </w:tc>
        <w:tc>
          <w:tcPr>
            <w:tcW w:w="1120"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2</w:t>
            </w:r>
          </w:p>
        </w:tc>
        <w:tc>
          <w:tcPr>
            <w:tcW w:w="1120"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3</w:t>
            </w:r>
          </w:p>
        </w:tc>
        <w:tc>
          <w:tcPr>
            <w:tcW w:w="1120"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4</w:t>
            </w:r>
          </w:p>
        </w:tc>
        <w:tc>
          <w:tcPr>
            <w:tcW w:w="1120"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5</w:t>
            </w:r>
          </w:p>
        </w:tc>
        <w:tc>
          <w:tcPr>
            <w:tcW w:w="1204"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6</w:t>
            </w:r>
          </w:p>
        </w:tc>
        <w:tc>
          <w:tcPr>
            <w:tcW w:w="1134"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7</w:t>
            </w:r>
          </w:p>
        </w:tc>
        <w:tc>
          <w:tcPr>
            <w:tcW w:w="1276"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8</w:t>
            </w:r>
          </w:p>
        </w:tc>
        <w:tc>
          <w:tcPr>
            <w:tcW w:w="1134"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9</w:t>
            </w:r>
          </w:p>
        </w:tc>
        <w:tc>
          <w:tcPr>
            <w:tcW w:w="1134"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10</w:t>
            </w:r>
          </w:p>
        </w:tc>
        <w:tc>
          <w:tcPr>
            <w:tcW w:w="1134" w:type="dxa"/>
            <w:gridSpan w:val="2"/>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11</w:t>
            </w:r>
          </w:p>
        </w:tc>
        <w:tc>
          <w:tcPr>
            <w:tcW w:w="1276" w:type="dxa"/>
            <w:tcBorders>
              <w:top w:val="nil"/>
              <w:left w:val="nil"/>
              <w:bottom w:val="single" w:color="000000" w:sz="4" w:space="0"/>
              <w:right w:val="single" w:color="000000" w:sz="4" w:space="0"/>
            </w:tcBorders>
            <w:shd w:val="clear" w:color="auto" w:fill="auto"/>
            <w:vAlign w:val="center"/>
          </w:tcPr>
          <w:p>
            <w:pPr>
              <w:jc w:val="center"/>
              <w:rPr>
                <w:rFonts w:ascii="仿宋" w:hAnsi="仿宋" w:eastAsia="仿宋" w:cs="Arial"/>
                <w:color w:val="000000"/>
              </w:rPr>
            </w:pPr>
            <w:r>
              <w:rPr>
                <w:rFonts w:hint="eastAsia" w:ascii="仿宋" w:hAnsi="仿宋" w:eastAsia="仿宋" w:cs="Arial"/>
                <w:color w:val="000000"/>
              </w:rPr>
              <w:t>12</w:t>
            </w:r>
          </w:p>
        </w:tc>
      </w:tr>
      <w:tr>
        <w:tblPrEx>
          <w:tblCellMar>
            <w:top w:w="0" w:type="dxa"/>
            <w:left w:w="108" w:type="dxa"/>
            <w:bottom w:w="0" w:type="dxa"/>
            <w:right w:w="108" w:type="dxa"/>
          </w:tblCellMar>
        </w:tblPrEx>
        <w:trPr>
          <w:gridAfter w:val="2"/>
          <w:wAfter w:w="476" w:type="dxa"/>
          <w:trHeight w:val="308" w:hRule="atLeast"/>
          <w:jc w:val="center"/>
        </w:trPr>
        <w:tc>
          <w:tcPr>
            <w:tcW w:w="1120" w:type="dxa"/>
            <w:gridSpan w:val="2"/>
            <w:tcBorders>
              <w:top w:val="nil"/>
              <w:left w:val="single" w:color="000000" w:sz="4" w:space="0"/>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218.26</w:t>
            </w:r>
          </w:p>
        </w:tc>
        <w:tc>
          <w:tcPr>
            <w:tcW w:w="1120" w:type="dxa"/>
            <w:gridSpan w:val="2"/>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0.00</w:t>
            </w:r>
          </w:p>
        </w:tc>
        <w:tc>
          <w:tcPr>
            <w:tcW w:w="1120" w:type="dxa"/>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204.20</w:t>
            </w:r>
          </w:p>
        </w:tc>
        <w:tc>
          <w:tcPr>
            <w:tcW w:w="1120" w:type="dxa"/>
            <w:gridSpan w:val="2"/>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98.00</w:t>
            </w:r>
          </w:p>
        </w:tc>
        <w:tc>
          <w:tcPr>
            <w:tcW w:w="1120" w:type="dxa"/>
            <w:gridSpan w:val="2"/>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106.20</w:t>
            </w:r>
          </w:p>
        </w:tc>
        <w:tc>
          <w:tcPr>
            <w:tcW w:w="1204" w:type="dxa"/>
            <w:gridSpan w:val="2"/>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14.06</w:t>
            </w:r>
          </w:p>
        </w:tc>
        <w:tc>
          <w:tcPr>
            <w:tcW w:w="1134" w:type="dxa"/>
            <w:gridSpan w:val="2"/>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185.67</w:t>
            </w:r>
          </w:p>
        </w:tc>
        <w:tc>
          <w:tcPr>
            <w:tcW w:w="1276" w:type="dxa"/>
            <w:gridSpan w:val="2"/>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0.00</w:t>
            </w:r>
          </w:p>
        </w:tc>
        <w:tc>
          <w:tcPr>
            <w:tcW w:w="1134" w:type="dxa"/>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182.26</w:t>
            </w:r>
          </w:p>
        </w:tc>
        <w:tc>
          <w:tcPr>
            <w:tcW w:w="1134" w:type="dxa"/>
            <w:gridSpan w:val="2"/>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92.96</w:t>
            </w:r>
          </w:p>
        </w:tc>
        <w:tc>
          <w:tcPr>
            <w:tcW w:w="1134" w:type="dxa"/>
            <w:gridSpan w:val="2"/>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89.30</w:t>
            </w:r>
          </w:p>
        </w:tc>
        <w:tc>
          <w:tcPr>
            <w:tcW w:w="1276" w:type="dxa"/>
            <w:tcBorders>
              <w:top w:val="nil"/>
              <w:left w:val="nil"/>
              <w:bottom w:val="single" w:color="000000" w:sz="4" w:space="0"/>
              <w:right w:val="single" w:color="000000" w:sz="4" w:space="0"/>
            </w:tcBorders>
            <w:shd w:val="clear" w:color="auto" w:fill="auto"/>
            <w:noWrap/>
          </w:tcPr>
          <w:p>
            <w:pPr>
              <w:jc w:val="center"/>
              <w:rPr>
                <w:rFonts w:ascii="仿宋" w:hAnsi="仿宋" w:eastAsia="仿宋"/>
                <w:sz w:val="18"/>
                <w:szCs w:val="18"/>
              </w:rPr>
            </w:pPr>
            <w:r>
              <w:rPr>
                <w:rFonts w:ascii="仿宋" w:hAnsi="仿宋" w:eastAsia="仿宋"/>
                <w:sz w:val="18"/>
                <w:szCs w:val="18"/>
              </w:rPr>
              <w:t>3.41</w:t>
            </w:r>
          </w:p>
        </w:tc>
      </w:tr>
      <w:tr>
        <w:tblPrEx>
          <w:tblCellMar>
            <w:top w:w="0" w:type="dxa"/>
            <w:left w:w="108" w:type="dxa"/>
            <w:bottom w:w="0" w:type="dxa"/>
            <w:right w:w="108" w:type="dxa"/>
          </w:tblCellMar>
        </w:tblPrEx>
        <w:trPr>
          <w:gridAfter w:val="2"/>
          <w:wAfter w:w="476" w:type="dxa"/>
          <w:trHeight w:val="615" w:hRule="atLeast"/>
          <w:jc w:val="center"/>
        </w:trPr>
        <w:tc>
          <w:tcPr>
            <w:tcW w:w="13892" w:type="dxa"/>
            <w:gridSpan w:val="21"/>
            <w:tcBorders>
              <w:top w:val="nil"/>
              <w:left w:val="nil"/>
              <w:bottom w:val="nil"/>
              <w:right w:val="nil"/>
            </w:tcBorders>
            <w:shd w:val="clear" w:color="auto" w:fill="auto"/>
            <w:vAlign w:val="center"/>
          </w:tcPr>
          <w:p>
            <w:pPr>
              <w:rPr>
                <w:rFonts w:ascii="仿宋" w:hAnsi="仿宋" w:eastAsia="仿宋" w:cs="Arial"/>
                <w:color w:val="000000"/>
              </w:rPr>
            </w:pPr>
          </w:p>
          <w:p>
            <w:pPr>
              <w:rPr>
                <w:rFonts w:ascii="仿宋" w:hAnsi="仿宋" w:eastAsia="仿宋" w:cs="Arial"/>
                <w:color w:val="000000"/>
              </w:rPr>
            </w:pPr>
            <w:r>
              <w:rPr>
                <w:rFonts w:hint="eastAsia" w:ascii="仿宋" w:hAnsi="仿宋" w:eastAsia="仿宋" w:cs="Arial"/>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spacing w:before="240" w:beforeLines="100" w:after="240" w:afterLines="100" w:line="520" w:lineRule="exact"/>
        <w:jc w:val="center"/>
        <w:outlineLvl w:val="0"/>
        <w:rPr>
          <w:rFonts w:eastAsia="方正小标宋_GBK"/>
          <w:color w:val="000000"/>
          <w:sz w:val="32"/>
          <w:szCs w:val="32"/>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1"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6840" w:h="11906" w:orient="landscape"/>
          <w:pgMar w:top="1440" w:right="1338" w:bottom="639" w:left="1320" w:header="0" w:footer="0" w:gutter="0"/>
          <w:cols w:equalWidth="0" w:num="1">
            <w:col w:w="14180"/>
          </w:cols>
        </w:sectPr>
      </w:pPr>
    </w:p>
    <w:p>
      <w:pPr>
        <w:spacing w:line="359" w:lineRule="exact"/>
        <w:rPr>
          <w:sz w:val="20"/>
          <w:szCs w:val="20"/>
        </w:rPr>
      </w:pPr>
      <w:bookmarkStart w:id="17" w:name="page24"/>
      <w:bookmarkEnd w:id="17"/>
    </w:p>
    <w:p>
      <w:pPr>
        <w:tabs>
          <w:tab w:val="left" w:pos="300"/>
        </w:tabs>
        <w:spacing w:line="366" w:lineRule="exact"/>
        <w:ind w:right="-553"/>
        <w:jc w:val="center"/>
        <w:rPr>
          <w:rFonts w:ascii="方正小标宋_GBK" w:eastAsia="方正小标宋_GBK"/>
          <w:sz w:val="20"/>
          <w:szCs w:val="20"/>
        </w:rPr>
      </w:pPr>
      <w:r>
        <w:rPr>
          <w:rFonts w:hint="eastAsia" w:ascii="方正小标宋_GBK" w:hAnsi="黑体" w:eastAsia="方正小标宋_GBK" w:cs="黑体"/>
          <w:sz w:val="32"/>
          <w:szCs w:val="32"/>
        </w:rPr>
        <w:t>第三部分</w:t>
      </w:r>
      <w:r>
        <w:rPr>
          <w:rFonts w:hint="eastAsia" w:ascii="方正小标宋_GBK" w:hAnsi="黑体" w:eastAsia="方正小标宋_GBK" w:cs="黑体"/>
          <w:sz w:val="32"/>
          <w:szCs w:val="32"/>
        </w:rPr>
        <w:tab/>
      </w:r>
      <w:r>
        <w:rPr>
          <w:rFonts w:hint="eastAsia" w:ascii="方正小标宋_GBK" w:hAnsi="黑体" w:eastAsia="方正小标宋_GBK" w:cs="黑体"/>
          <w:sz w:val="32"/>
          <w:szCs w:val="32"/>
        </w:rPr>
        <w:t>国家统计局山西调查总队 2022年度部门决算情况说明</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35" w:lineRule="exact"/>
        <w:rPr>
          <w:sz w:val="20"/>
          <w:szCs w:val="20"/>
        </w:rPr>
      </w:pPr>
    </w:p>
    <w:p>
      <w:pPr>
        <w:spacing w:line="366" w:lineRule="exact"/>
        <w:ind w:firstLine="640" w:firstLineChars="200"/>
        <w:rPr>
          <w:sz w:val="20"/>
          <w:szCs w:val="20"/>
        </w:rPr>
      </w:pPr>
      <w:r>
        <w:rPr>
          <w:rFonts w:ascii="黑体" w:hAnsi="黑体" w:eastAsia="黑体" w:cs="黑体"/>
          <w:sz w:val="32"/>
          <w:szCs w:val="32"/>
        </w:rPr>
        <w:t>一、收入支出总体情况说明</w:t>
      </w:r>
    </w:p>
    <w:p>
      <w:pPr>
        <w:widowControl w:val="0"/>
        <w:spacing w:line="60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202</w:t>
      </w:r>
      <w:r>
        <w:rPr>
          <w:rFonts w:ascii="仿宋_GB2312" w:hAnsi="仿宋_GB2312"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年</w:t>
      </w:r>
      <w:r>
        <w:rPr>
          <w:rFonts w:ascii="仿宋_GB2312" w:hAnsi="仿宋_GB2312" w:eastAsia="仿宋_GB2312" w:cs="仿宋_GB2312"/>
          <w:color w:val="000000"/>
          <w:kern w:val="2"/>
          <w:sz w:val="32"/>
          <w:szCs w:val="32"/>
        </w:rPr>
        <w:t>度</w:t>
      </w:r>
      <w:r>
        <w:rPr>
          <w:rFonts w:hint="eastAsia" w:ascii="仿宋_GB2312" w:hAnsi="仿宋_GB2312" w:eastAsia="仿宋_GB2312" w:cs="仿宋_GB2312"/>
          <w:color w:val="000000"/>
          <w:kern w:val="2"/>
          <w:sz w:val="32"/>
          <w:szCs w:val="32"/>
        </w:rPr>
        <w:t>收入总计</w:t>
      </w:r>
      <w:r>
        <w:rPr>
          <w:rFonts w:ascii="仿宋_GB2312" w:hAnsi="仿宋_GB2312" w:eastAsia="仿宋_GB2312" w:cs="仿宋_GB2312"/>
          <w:color w:val="000000"/>
          <w:kern w:val="2"/>
          <w:sz w:val="32"/>
          <w:szCs w:val="32"/>
        </w:rPr>
        <w:t>22046.06</w:t>
      </w:r>
      <w:r>
        <w:rPr>
          <w:rFonts w:hint="eastAsia" w:ascii="仿宋_GB2312" w:hAnsi="仿宋_GB2312" w:eastAsia="仿宋_GB2312" w:cs="仿宋_GB2312"/>
          <w:color w:val="000000"/>
          <w:kern w:val="2"/>
          <w:sz w:val="32"/>
          <w:szCs w:val="32"/>
        </w:rPr>
        <w:t>万元，其中：本年收入</w:t>
      </w:r>
      <w:r>
        <w:rPr>
          <w:rFonts w:ascii="仿宋_GB2312" w:hAnsi="仿宋_GB2312" w:eastAsia="仿宋_GB2312" w:cs="仿宋_GB2312"/>
          <w:color w:val="000000"/>
          <w:kern w:val="2"/>
          <w:sz w:val="32"/>
          <w:szCs w:val="32"/>
        </w:rPr>
        <w:t>17818.34</w:t>
      </w:r>
      <w:r>
        <w:rPr>
          <w:rFonts w:hint="eastAsia" w:ascii="仿宋_GB2312" w:hAnsi="仿宋_GB2312" w:eastAsia="仿宋_GB2312" w:cs="仿宋_GB2312"/>
          <w:color w:val="000000"/>
          <w:kern w:val="2"/>
          <w:sz w:val="32"/>
          <w:szCs w:val="32"/>
        </w:rPr>
        <w:t>万元；支出总计</w:t>
      </w:r>
      <w:r>
        <w:rPr>
          <w:rFonts w:ascii="仿宋_GB2312" w:hAnsi="仿宋_GB2312" w:eastAsia="仿宋_GB2312" w:cs="仿宋_GB2312"/>
          <w:color w:val="000000"/>
          <w:kern w:val="2"/>
          <w:sz w:val="32"/>
          <w:szCs w:val="32"/>
        </w:rPr>
        <w:t>22046.06</w:t>
      </w:r>
      <w:r>
        <w:rPr>
          <w:rFonts w:hint="eastAsia" w:ascii="仿宋_GB2312" w:hAnsi="仿宋_GB2312" w:eastAsia="仿宋_GB2312" w:cs="仿宋_GB2312"/>
          <w:color w:val="000000"/>
          <w:kern w:val="2"/>
          <w:sz w:val="32"/>
          <w:szCs w:val="32"/>
        </w:rPr>
        <w:t>万元，其中，本年支出</w:t>
      </w:r>
      <w:r>
        <w:rPr>
          <w:rFonts w:ascii="仿宋_GB2312" w:hAnsi="仿宋_GB2312" w:eastAsia="仿宋_GB2312" w:cs="仿宋_GB2312"/>
          <w:color w:val="000000"/>
          <w:kern w:val="2"/>
          <w:sz w:val="32"/>
          <w:szCs w:val="32"/>
        </w:rPr>
        <w:t>17378.08</w:t>
      </w:r>
      <w:r>
        <w:rPr>
          <w:rFonts w:hint="eastAsia" w:ascii="仿宋_GB2312" w:hAnsi="仿宋_GB2312" w:eastAsia="仿宋_GB2312" w:cs="仿宋_GB2312"/>
          <w:color w:val="000000"/>
          <w:kern w:val="2"/>
          <w:sz w:val="32"/>
          <w:szCs w:val="32"/>
        </w:rPr>
        <w:t>万元。与202</w:t>
      </w:r>
      <w:r>
        <w:rPr>
          <w:rFonts w:ascii="仿宋_GB2312" w:hAnsi="仿宋_GB2312"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年相比，收、支总计共减少</w:t>
      </w:r>
      <w:r>
        <w:rPr>
          <w:rFonts w:ascii="仿宋_GB2312" w:hAnsi="仿宋_GB2312" w:eastAsia="仿宋_GB2312" w:cs="仿宋_GB2312"/>
          <w:color w:val="000000"/>
          <w:kern w:val="2"/>
          <w:sz w:val="32"/>
          <w:szCs w:val="32"/>
        </w:rPr>
        <w:t>162.92</w:t>
      </w:r>
      <w:r>
        <w:rPr>
          <w:rFonts w:hint="eastAsia" w:ascii="仿宋_GB2312" w:hAnsi="仿宋_GB2312" w:eastAsia="仿宋_GB2312" w:cs="仿宋_GB2312"/>
          <w:color w:val="000000"/>
          <w:kern w:val="2"/>
          <w:sz w:val="32"/>
          <w:szCs w:val="32"/>
        </w:rPr>
        <w:t>万元。</w:t>
      </w:r>
    </w:p>
    <w:p>
      <w:pPr>
        <w:pStyle w:val="7"/>
        <w:spacing w:line="600" w:lineRule="exact"/>
        <w:ind w:firstLine="640"/>
        <w:rPr>
          <w:rFonts w:ascii="楷体" w:hAnsi="楷体" w:eastAsia="楷体"/>
          <w:sz w:val="20"/>
          <w:szCs w:val="20"/>
        </w:rPr>
      </w:pPr>
      <w:r>
        <w:rPr>
          <w:rFonts w:ascii="楷体" w:hAnsi="楷体" w:eastAsia="楷体" w:cs="宋体"/>
          <w:sz w:val="32"/>
          <w:szCs w:val="32"/>
        </w:rPr>
        <w:t>（一）本年收入。</w:t>
      </w:r>
    </w:p>
    <w:p>
      <w:pPr>
        <w:widowControl w:val="0"/>
        <w:spacing w:line="600" w:lineRule="exact"/>
        <w:ind w:firstLine="640" w:firstLineChars="200"/>
        <w:jc w:val="both"/>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2022年度本年收入17818.34万元，具体情况如下：</w:t>
      </w:r>
    </w:p>
    <w:p>
      <w:pPr>
        <w:widowControl w:val="0"/>
        <w:spacing w:line="600" w:lineRule="exact"/>
        <w:ind w:firstLine="640" w:firstLineChars="200"/>
        <w:jc w:val="both"/>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财政拨款收入</w:t>
      </w:r>
      <w:r>
        <w:rPr>
          <w:rFonts w:ascii="仿宋_GB2312" w:hAnsi="仿宋_GB2312" w:eastAsia="仿宋_GB2312" w:cs="仿宋_GB2312"/>
          <w:color w:val="000000"/>
          <w:kern w:val="2"/>
          <w:sz w:val="32"/>
          <w:szCs w:val="32"/>
        </w:rPr>
        <w:t>12322.67</w:t>
      </w:r>
      <w:r>
        <w:rPr>
          <w:rFonts w:hint="eastAsia" w:ascii="仿宋_GB2312" w:hAnsi="仿宋_GB2312" w:eastAsia="仿宋_GB2312" w:cs="仿宋_GB2312"/>
          <w:color w:val="000000"/>
          <w:kern w:val="2"/>
          <w:sz w:val="32"/>
          <w:szCs w:val="32"/>
        </w:rPr>
        <w:t>万元，系国家统计局山西调查总队本级及所属市、县调查队本年从中央财政取得的资金，占本年收入的</w:t>
      </w:r>
      <w:r>
        <w:rPr>
          <w:rFonts w:ascii="仿宋_GB2312" w:hAnsi="仿宋_GB2312" w:eastAsia="仿宋_GB2312" w:cs="仿宋_GB2312"/>
          <w:color w:val="000000"/>
          <w:kern w:val="2"/>
          <w:sz w:val="32"/>
          <w:szCs w:val="32"/>
        </w:rPr>
        <w:t>69.16%</w:t>
      </w:r>
      <w:r>
        <w:rPr>
          <w:rFonts w:hint="eastAsia" w:ascii="仿宋_GB2312" w:hAnsi="仿宋_GB2312" w:eastAsia="仿宋_GB2312" w:cs="仿宋_GB2312"/>
          <w:color w:val="000000"/>
          <w:kern w:val="2"/>
          <w:sz w:val="32"/>
          <w:szCs w:val="32"/>
        </w:rPr>
        <w:t>，由</w:t>
      </w:r>
      <w:r>
        <w:rPr>
          <w:rFonts w:ascii="仿宋_GB2312" w:hAnsi="仿宋_GB2312" w:eastAsia="仿宋_GB2312" w:cs="仿宋_GB2312"/>
          <w:color w:val="000000"/>
          <w:kern w:val="2"/>
          <w:sz w:val="32"/>
          <w:szCs w:val="32"/>
        </w:rPr>
        <w:t>2021</w:t>
      </w:r>
      <w:r>
        <w:rPr>
          <w:rFonts w:hint="eastAsia" w:ascii="仿宋_GB2312" w:hAnsi="仿宋_GB2312" w:eastAsia="仿宋_GB2312" w:cs="仿宋_GB2312"/>
          <w:color w:val="000000"/>
          <w:kern w:val="2"/>
          <w:sz w:val="32"/>
          <w:szCs w:val="32"/>
        </w:rPr>
        <w:t>年的12</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487.98万元减少1</w:t>
      </w:r>
      <w:r>
        <w:rPr>
          <w:rFonts w:ascii="仿宋_GB2312" w:hAnsi="仿宋_GB2312" w:eastAsia="仿宋_GB2312" w:cs="仿宋_GB2312"/>
          <w:color w:val="000000"/>
          <w:kern w:val="2"/>
          <w:sz w:val="32"/>
          <w:szCs w:val="32"/>
        </w:rPr>
        <w:t>65.31</w:t>
      </w:r>
      <w:r>
        <w:rPr>
          <w:rFonts w:hint="eastAsia" w:ascii="仿宋_GB2312" w:hAnsi="仿宋_GB2312" w:eastAsia="仿宋_GB2312" w:cs="仿宋_GB2312"/>
          <w:color w:val="000000"/>
          <w:kern w:val="2"/>
          <w:sz w:val="32"/>
          <w:szCs w:val="32"/>
        </w:rPr>
        <w:t>万元，降幅1</w:t>
      </w:r>
      <w:r>
        <w:rPr>
          <w:rFonts w:ascii="仿宋_GB2312" w:hAnsi="仿宋_GB2312" w:eastAsia="仿宋_GB2312" w:cs="仿宋_GB2312"/>
          <w:color w:val="000000"/>
          <w:kern w:val="2"/>
          <w:sz w:val="32"/>
          <w:szCs w:val="32"/>
        </w:rPr>
        <w:t>.32</w:t>
      </w:r>
      <w:r>
        <w:rPr>
          <w:rFonts w:hint="eastAsia" w:ascii="仿宋_GB2312" w:hAnsi="仿宋_GB2312" w:eastAsia="仿宋_GB2312" w:cs="仿宋_GB2312"/>
          <w:color w:val="000000"/>
          <w:kern w:val="2"/>
          <w:sz w:val="32"/>
          <w:szCs w:val="32"/>
        </w:rPr>
        <w:t>%。202</w:t>
      </w:r>
      <w:r>
        <w:rPr>
          <w:rFonts w:ascii="仿宋_GB2312" w:hAnsi="仿宋_GB2312"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年财政拨款收入中，行政运行</w:t>
      </w:r>
      <w:r>
        <w:rPr>
          <w:rFonts w:ascii="仿宋_GB2312" w:hAnsi="仿宋_GB2312" w:eastAsia="仿宋_GB2312" w:cs="仿宋_GB2312"/>
          <w:color w:val="000000"/>
          <w:kern w:val="2"/>
          <w:sz w:val="32"/>
          <w:szCs w:val="32"/>
        </w:rPr>
        <w:t>7896.94</w:t>
      </w:r>
      <w:r>
        <w:rPr>
          <w:rFonts w:hint="eastAsia" w:ascii="仿宋_GB2312" w:hAnsi="仿宋_GB2312" w:eastAsia="仿宋_GB2312" w:cs="仿宋_GB2312"/>
          <w:color w:val="000000"/>
          <w:kern w:val="2"/>
          <w:sz w:val="32"/>
          <w:szCs w:val="32"/>
        </w:rPr>
        <w:t>万元，占比</w:t>
      </w:r>
      <w:r>
        <w:rPr>
          <w:rFonts w:ascii="仿宋_GB2312" w:hAnsi="仿宋_GB2312" w:eastAsia="仿宋_GB2312" w:cs="仿宋_GB2312"/>
          <w:color w:val="000000"/>
          <w:kern w:val="2"/>
          <w:sz w:val="32"/>
          <w:szCs w:val="32"/>
        </w:rPr>
        <w:t>64.</w:t>
      </w:r>
      <w:r>
        <w:rPr>
          <w:rFonts w:hint="eastAsia" w:ascii="仿宋_GB2312" w:hAnsi="仿宋_GB2312" w:eastAsia="仿宋_GB2312" w:cs="仿宋_GB2312"/>
          <w:color w:val="000000"/>
          <w:kern w:val="2"/>
          <w:sz w:val="32"/>
          <w:szCs w:val="32"/>
        </w:rPr>
        <w:t>08%；一般行政管理事务</w:t>
      </w:r>
      <w:r>
        <w:rPr>
          <w:rFonts w:ascii="仿宋_GB2312" w:hAnsi="仿宋_GB2312" w:eastAsia="仿宋_GB2312" w:cs="仿宋_GB2312"/>
          <w:color w:val="000000"/>
          <w:kern w:val="2"/>
          <w:sz w:val="32"/>
          <w:szCs w:val="32"/>
        </w:rPr>
        <w:t>135</w:t>
      </w:r>
      <w:r>
        <w:rPr>
          <w:rFonts w:hint="eastAsia" w:ascii="仿宋_GB2312" w:hAnsi="仿宋_GB2312" w:eastAsia="仿宋_GB2312" w:cs="仿宋_GB2312"/>
          <w:color w:val="000000"/>
          <w:kern w:val="2"/>
          <w:sz w:val="32"/>
          <w:szCs w:val="32"/>
        </w:rPr>
        <w:t>万元，占比</w:t>
      </w:r>
      <w:r>
        <w:rPr>
          <w:rFonts w:ascii="仿宋_GB2312" w:hAnsi="仿宋_GB2312" w:eastAsia="仿宋_GB2312" w:cs="仿宋_GB2312"/>
          <w:color w:val="000000"/>
          <w:kern w:val="2"/>
          <w:sz w:val="32"/>
          <w:szCs w:val="32"/>
        </w:rPr>
        <w:t>1.1</w:t>
      </w:r>
      <w:r>
        <w:rPr>
          <w:rFonts w:hint="eastAsia" w:ascii="仿宋_GB2312" w:hAnsi="仿宋_GB2312" w:eastAsia="仿宋_GB2312" w:cs="仿宋_GB2312"/>
          <w:color w:val="000000"/>
          <w:kern w:val="2"/>
          <w:sz w:val="32"/>
          <w:szCs w:val="32"/>
        </w:rPr>
        <w:t>%；专项统计业务</w:t>
      </w:r>
      <w:r>
        <w:rPr>
          <w:rFonts w:ascii="仿宋_GB2312" w:hAnsi="仿宋_GB2312" w:eastAsia="仿宋_GB2312" w:cs="仿宋_GB2312"/>
          <w:color w:val="000000"/>
          <w:kern w:val="2"/>
          <w:sz w:val="32"/>
          <w:szCs w:val="32"/>
        </w:rPr>
        <w:t>267</w:t>
      </w:r>
      <w:r>
        <w:rPr>
          <w:rFonts w:hint="eastAsia" w:ascii="仿宋_GB2312" w:hAnsi="仿宋_GB2312" w:eastAsia="仿宋_GB2312" w:cs="仿宋_GB2312"/>
          <w:color w:val="000000"/>
          <w:kern w:val="2"/>
          <w:sz w:val="32"/>
          <w:szCs w:val="32"/>
        </w:rPr>
        <w:t>万元，占比</w:t>
      </w:r>
      <w:r>
        <w:rPr>
          <w:rFonts w:ascii="仿宋_GB2312" w:hAnsi="仿宋_GB2312" w:eastAsia="仿宋_GB2312" w:cs="仿宋_GB2312"/>
          <w:color w:val="000000"/>
          <w:kern w:val="2"/>
          <w:sz w:val="32"/>
          <w:szCs w:val="32"/>
        </w:rPr>
        <w:t>2.17</w:t>
      </w:r>
      <w:r>
        <w:rPr>
          <w:rFonts w:hint="eastAsia" w:ascii="仿宋_GB2312" w:hAnsi="仿宋_GB2312" w:eastAsia="仿宋_GB2312" w:cs="仿宋_GB2312"/>
          <w:color w:val="000000"/>
          <w:kern w:val="2"/>
          <w:sz w:val="32"/>
          <w:szCs w:val="32"/>
        </w:rPr>
        <w:t>%；统计管理3</w:t>
      </w:r>
      <w:r>
        <w:rPr>
          <w:rFonts w:ascii="仿宋_GB2312" w:hAnsi="仿宋_GB2312" w:eastAsia="仿宋_GB2312" w:cs="仿宋_GB2312"/>
          <w:color w:val="000000"/>
          <w:kern w:val="2"/>
          <w:sz w:val="32"/>
          <w:szCs w:val="32"/>
        </w:rPr>
        <w:t>6万元，占比</w:t>
      </w:r>
      <w:r>
        <w:rPr>
          <w:rFonts w:hint="eastAsia" w:ascii="仿宋_GB2312" w:hAnsi="仿宋_GB2312" w:eastAsia="仿宋_GB2312" w:cs="仿宋_GB2312"/>
          <w:color w:val="000000"/>
          <w:kern w:val="2"/>
          <w:sz w:val="32"/>
          <w:szCs w:val="32"/>
        </w:rPr>
        <w:t>0</w:t>
      </w:r>
      <w:r>
        <w:rPr>
          <w:rFonts w:ascii="仿宋_GB2312" w:hAnsi="仿宋_GB2312" w:eastAsia="仿宋_GB2312" w:cs="仿宋_GB2312"/>
          <w:color w:val="000000"/>
          <w:kern w:val="2"/>
          <w:sz w:val="32"/>
          <w:szCs w:val="32"/>
        </w:rPr>
        <w:t>.29%；</w:t>
      </w:r>
      <w:r>
        <w:rPr>
          <w:rFonts w:hint="eastAsia" w:ascii="仿宋_GB2312" w:hAnsi="仿宋_GB2312" w:eastAsia="仿宋_GB2312" w:cs="仿宋_GB2312"/>
          <w:color w:val="000000"/>
          <w:kern w:val="2"/>
          <w:sz w:val="32"/>
          <w:szCs w:val="32"/>
        </w:rPr>
        <w:t>统计抽样调查1567.9万元，占比12.72%；行政单位养老</w:t>
      </w:r>
      <w:r>
        <w:rPr>
          <w:rFonts w:ascii="仿宋_GB2312" w:hAnsi="仿宋_GB2312" w:eastAsia="仿宋_GB2312" w:cs="仿宋_GB2312"/>
          <w:color w:val="000000"/>
          <w:kern w:val="2"/>
          <w:sz w:val="32"/>
          <w:szCs w:val="32"/>
        </w:rPr>
        <w:t>742.37</w:t>
      </w:r>
      <w:r>
        <w:rPr>
          <w:rFonts w:hint="eastAsia" w:ascii="仿宋_GB2312" w:hAnsi="仿宋_GB2312" w:eastAsia="仿宋_GB2312" w:cs="仿宋_GB2312"/>
          <w:color w:val="000000"/>
          <w:kern w:val="2"/>
          <w:sz w:val="32"/>
          <w:szCs w:val="32"/>
        </w:rPr>
        <w:t>万元，占比</w:t>
      </w:r>
      <w:r>
        <w:rPr>
          <w:rFonts w:ascii="仿宋_GB2312" w:hAnsi="仿宋_GB2312" w:eastAsia="仿宋_GB2312" w:cs="仿宋_GB2312"/>
          <w:color w:val="000000"/>
          <w:kern w:val="2"/>
          <w:sz w:val="32"/>
          <w:szCs w:val="32"/>
        </w:rPr>
        <w:t>6.02</w:t>
      </w:r>
      <w:r>
        <w:rPr>
          <w:rFonts w:hint="eastAsia" w:ascii="仿宋_GB2312" w:hAnsi="仿宋_GB2312" w:eastAsia="仿宋_GB2312" w:cs="仿宋_GB2312"/>
          <w:color w:val="000000"/>
          <w:kern w:val="2"/>
          <w:sz w:val="32"/>
          <w:szCs w:val="32"/>
        </w:rPr>
        <w:t>%；行政单位职业年金</w:t>
      </w:r>
      <w:r>
        <w:rPr>
          <w:rFonts w:ascii="仿宋_GB2312" w:hAnsi="仿宋_GB2312" w:eastAsia="仿宋_GB2312" w:cs="仿宋_GB2312"/>
          <w:color w:val="000000"/>
          <w:kern w:val="2"/>
          <w:sz w:val="32"/>
          <w:szCs w:val="32"/>
        </w:rPr>
        <w:t>371.18</w:t>
      </w:r>
      <w:r>
        <w:rPr>
          <w:rFonts w:hint="eastAsia" w:ascii="仿宋_GB2312" w:hAnsi="仿宋_GB2312" w:eastAsia="仿宋_GB2312" w:cs="仿宋_GB2312"/>
          <w:color w:val="000000"/>
          <w:kern w:val="2"/>
          <w:sz w:val="32"/>
          <w:szCs w:val="32"/>
        </w:rPr>
        <w:t>万元，占比</w:t>
      </w:r>
      <w:r>
        <w:rPr>
          <w:rFonts w:ascii="仿宋_GB2312" w:hAnsi="仿宋_GB2312" w:eastAsia="仿宋_GB2312" w:cs="仿宋_GB2312"/>
          <w:color w:val="000000"/>
          <w:kern w:val="2"/>
          <w:sz w:val="32"/>
          <w:szCs w:val="32"/>
        </w:rPr>
        <w:t>3.01</w:t>
      </w:r>
      <w:r>
        <w:rPr>
          <w:rFonts w:hint="eastAsia" w:ascii="仿宋_GB2312" w:hAnsi="仿宋_GB2312" w:eastAsia="仿宋_GB2312" w:cs="仿宋_GB2312"/>
          <w:color w:val="000000"/>
          <w:kern w:val="2"/>
          <w:sz w:val="32"/>
          <w:szCs w:val="32"/>
        </w:rPr>
        <w:t>%；行政单位医疗</w:t>
      </w:r>
      <w:r>
        <w:rPr>
          <w:rFonts w:ascii="仿宋_GB2312" w:hAnsi="仿宋_GB2312" w:eastAsia="仿宋_GB2312" w:cs="仿宋_GB2312"/>
          <w:color w:val="000000"/>
          <w:kern w:val="2"/>
          <w:sz w:val="32"/>
          <w:szCs w:val="32"/>
        </w:rPr>
        <w:t>390.04</w:t>
      </w:r>
      <w:r>
        <w:rPr>
          <w:rFonts w:hint="eastAsia" w:ascii="仿宋_GB2312" w:hAnsi="仿宋_GB2312" w:eastAsia="仿宋_GB2312" w:cs="仿宋_GB2312"/>
          <w:color w:val="000000"/>
          <w:kern w:val="2"/>
          <w:sz w:val="32"/>
          <w:szCs w:val="32"/>
        </w:rPr>
        <w:t>万元，占比</w:t>
      </w:r>
      <w:r>
        <w:rPr>
          <w:rFonts w:ascii="仿宋_GB2312" w:hAnsi="仿宋_GB2312" w:eastAsia="仿宋_GB2312" w:cs="仿宋_GB2312"/>
          <w:color w:val="000000"/>
          <w:kern w:val="2"/>
          <w:sz w:val="32"/>
          <w:szCs w:val="32"/>
        </w:rPr>
        <w:t>3.17</w:t>
      </w:r>
      <w:r>
        <w:rPr>
          <w:rFonts w:hint="eastAsia" w:ascii="仿宋_GB2312" w:hAnsi="仿宋_GB2312" w:eastAsia="仿宋_GB2312" w:cs="仿宋_GB2312"/>
          <w:color w:val="000000"/>
          <w:kern w:val="2"/>
          <w:sz w:val="32"/>
          <w:szCs w:val="32"/>
        </w:rPr>
        <w:t>%；住房公积金</w:t>
      </w:r>
      <w:r>
        <w:rPr>
          <w:rFonts w:ascii="仿宋_GB2312" w:hAnsi="仿宋_GB2312" w:eastAsia="仿宋_GB2312" w:cs="仿宋_GB2312"/>
          <w:color w:val="000000"/>
          <w:kern w:val="2"/>
          <w:sz w:val="32"/>
          <w:szCs w:val="32"/>
        </w:rPr>
        <w:t>713.9</w:t>
      </w:r>
      <w:r>
        <w:rPr>
          <w:rFonts w:hint="eastAsia" w:ascii="仿宋_GB2312" w:hAnsi="仿宋_GB2312" w:eastAsia="仿宋_GB2312" w:cs="仿宋_GB2312"/>
          <w:color w:val="000000"/>
          <w:kern w:val="2"/>
          <w:sz w:val="32"/>
          <w:szCs w:val="32"/>
        </w:rPr>
        <w:t>万元，占比5.</w:t>
      </w:r>
      <w:r>
        <w:rPr>
          <w:rFonts w:ascii="仿宋_GB2312" w:hAnsi="仿宋_GB2312" w:eastAsia="仿宋_GB2312" w:cs="仿宋_GB2312"/>
          <w:color w:val="000000"/>
          <w:kern w:val="2"/>
          <w:sz w:val="32"/>
          <w:szCs w:val="32"/>
        </w:rPr>
        <w:t>79</w:t>
      </w:r>
      <w:r>
        <w:rPr>
          <w:rFonts w:hint="eastAsia" w:ascii="仿宋_GB2312" w:hAnsi="仿宋_GB2312" w:eastAsia="仿宋_GB2312" w:cs="仿宋_GB2312"/>
          <w:color w:val="000000"/>
          <w:kern w:val="2"/>
          <w:sz w:val="32"/>
          <w:szCs w:val="32"/>
        </w:rPr>
        <w:t>%；购房补贴</w:t>
      </w:r>
      <w:r>
        <w:rPr>
          <w:rFonts w:ascii="仿宋_GB2312" w:hAnsi="仿宋_GB2312" w:eastAsia="仿宋_GB2312" w:cs="仿宋_GB2312"/>
          <w:color w:val="000000"/>
          <w:kern w:val="2"/>
          <w:sz w:val="32"/>
          <w:szCs w:val="32"/>
        </w:rPr>
        <w:t>202.34</w:t>
      </w:r>
      <w:r>
        <w:rPr>
          <w:rFonts w:hint="eastAsia" w:ascii="仿宋_GB2312" w:hAnsi="仿宋_GB2312" w:eastAsia="仿宋_GB2312" w:cs="仿宋_GB2312"/>
          <w:color w:val="000000"/>
          <w:kern w:val="2"/>
          <w:sz w:val="32"/>
          <w:szCs w:val="32"/>
        </w:rPr>
        <w:t>万元，占比1.</w:t>
      </w:r>
      <w:r>
        <w:rPr>
          <w:rFonts w:ascii="仿宋_GB2312" w:hAnsi="仿宋_GB2312" w:eastAsia="仿宋_GB2312" w:cs="仿宋_GB2312"/>
          <w:color w:val="000000"/>
          <w:kern w:val="2"/>
          <w:sz w:val="32"/>
          <w:szCs w:val="32"/>
        </w:rPr>
        <w:t>6</w:t>
      </w:r>
      <w:r>
        <w:rPr>
          <w:rFonts w:hint="eastAsia" w:ascii="仿宋_GB2312" w:hAnsi="仿宋_GB2312" w:eastAsia="仿宋_GB2312" w:cs="仿宋_GB2312"/>
          <w:color w:val="000000"/>
          <w:kern w:val="2"/>
          <w:sz w:val="32"/>
          <w:szCs w:val="32"/>
        </w:rPr>
        <w:t>5%。</w:t>
      </w:r>
    </w:p>
    <w:p>
      <w:pPr>
        <w:widowControl w:val="0"/>
        <w:spacing w:line="600" w:lineRule="exact"/>
        <w:ind w:firstLine="640" w:firstLineChars="200"/>
        <w:jc w:val="both"/>
        <w:rPr>
          <w:rFonts w:ascii="仿宋_GB2312" w:hAnsi="仿宋_GB2312" w:eastAsia="仿宋_GB2312" w:cs="仿宋_GB2312"/>
          <w:color w:val="000000"/>
          <w:kern w:val="2"/>
          <w:sz w:val="32"/>
          <w:szCs w:val="32"/>
        </w:rPr>
        <w:sectPr>
          <w:pgSz w:w="11900" w:h="16838"/>
          <w:pgMar w:top="1440" w:right="1366" w:bottom="639" w:left="1380" w:header="0" w:footer="0" w:gutter="0"/>
          <w:cols w:equalWidth="0" w:num="1">
            <w:col w:w="9160"/>
          </w:cols>
        </w:sectPr>
      </w:pPr>
      <w:r>
        <w:rPr>
          <w:rFonts w:ascii="仿宋_GB2312" w:hAnsi="仿宋_GB2312" w:eastAsia="仿宋_GB2312" w:cs="仿宋_GB2312"/>
          <w:color w:val="000000"/>
          <w:kern w:val="2"/>
          <w:sz w:val="32"/>
          <w:szCs w:val="32"/>
        </w:rPr>
        <w:t>2.其他收入5495.67万元。</w:t>
      </w:r>
      <w:r>
        <w:rPr>
          <w:rFonts w:hint="eastAsia" w:ascii="仿宋_GB2312" w:hAnsi="仿宋_GB2312" w:eastAsia="仿宋_GB2312" w:cs="仿宋_GB2312"/>
          <w:color w:val="000000"/>
          <w:kern w:val="2"/>
          <w:sz w:val="32"/>
          <w:szCs w:val="32"/>
        </w:rPr>
        <w:t>由202</w:t>
      </w:r>
      <w:r>
        <w:rPr>
          <w:rFonts w:ascii="仿宋_GB2312" w:hAnsi="仿宋_GB2312"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年的5</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847.66万元减少3</w:t>
      </w:r>
      <w:r>
        <w:rPr>
          <w:rFonts w:ascii="仿宋_GB2312" w:hAnsi="仿宋_GB2312" w:eastAsia="仿宋_GB2312" w:cs="仿宋_GB2312"/>
          <w:color w:val="000000"/>
          <w:kern w:val="2"/>
          <w:sz w:val="32"/>
          <w:szCs w:val="32"/>
        </w:rPr>
        <w:t>51.99</w:t>
      </w:r>
      <w:r>
        <w:rPr>
          <w:rFonts w:hint="eastAsia" w:ascii="仿宋_GB2312" w:hAnsi="仿宋_GB2312" w:eastAsia="仿宋_GB2312" w:cs="仿宋_GB2312"/>
          <w:color w:val="000000"/>
          <w:kern w:val="2"/>
          <w:sz w:val="32"/>
          <w:szCs w:val="32"/>
        </w:rPr>
        <w:t>万元，减幅</w:t>
      </w:r>
      <w:r>
        <w:rPr>
          <w:rFonts w:ascii="仿宋_GB2312" w:hAnsi="仿宋_GB2312" w:eastAsia="仿宋_GB2312" w:cs="仿宋_GB2312"/>
          <w:color w:val="000000"/>
          <w:kern w:val="2"/>
          <w:sz w:val="32"/>
          <w:szCs w:val="32"/>
        </w:rPr>
        <w:t>6.02</w:t>
      </w:r>
      <w:r>
        <w:rPr>
          <w:rFonts w:hint="eastAsia" w:ascii="仿宋_GB2312" w:hAnsi="仿宋_GB2312" w:eastAsia="仿宋_GB2312" w:cs="仿宋_GB2312"/>
          <w:color w:val="000000"/>
          <w:kern w:val="2"/>
          <w:sz w:val="32"/>
          <w:szCs w:val="32"/>
        </w:rPr>
        <w:t>%。</w:t>
      </w:r>
    </w:p>
    <w:p>
      <w:pPr>
        <w:pStyle w:val="7"/>
        <w:spacing w:line="600" w:lineRule="exact"/>
        <w:ind w:firstLine="640"/>
        <w:rPr>
          <w:rFonts w:ascii="楷体" w:hAnsi="楷体" w:eastAsia="楷体" w:cs="宋体"/>
          <w:sz w:val="32"/>
          <w:szCs w:val="32"/>
        </w:rPr>
      </w:pPr>
      <w:bookmarkStart w:id="18" w:name="page26"/>
      <w:bookmarkEnd w:id="18"/>
      <w:r>
        <w:rPr>
          <w:rFonts w:ascii="楷体" w:hAnsi="楷体" w:eastAsia="楷体" w:cs="宋体"/>
          <w:sz w:val="32"/>
          <w:szCs w:val="32"/>
        </w:rPr>
        <w:t>（二）本年支出。</w:t>
      </w:r>
    </w:p>
    <w:p>
      <w:pPr>
        <w:widowControl w:val="0"/>
        <w:spacing w:line="60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202</w:t>
      </w:r>
      <w:r>
        <w:rPr>
          <w:rFonts w:ascii="仿宋_GB2312" w:hAnsi="仿宋_GB2312"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年度本年支出</w:t>
      </w:r>
      <w:r>
        <w:rPr>
          <w:rFonts w:ascii="仿宋_GB2312" w:hAnsi="仿宋_GB2312" w:eastAsia="仿宋_GB2312" w:cs="仿宋_GB2312"/>
          <w:color w:val="000000"/>
          <w:kern w:val="2"/>
          <w:sz w:val="32"/>
          <w:szCs w:val="32"/>
        </w:rPr>
        <w:t>17378.08</w:t>
      </w:r>
      <w:r>
        <w:rPr>
          <w:rFonts w:hint="eastAsia" w:ascii="仿宋_GB2312" w:hAnsi="仿宋_GB2312" w:eastAsia="仿宋_GB2312" w:cs="仿宋_GB2312"/>
          <w:color w:val="000000"/>
          <w:kern w:val="2"/>
          <w:sz w:val="32"/>
          <w:szCs w:val="32"/>
        </w:rPr>
        <w:t>万元，按支出功能分类如下：</w:t>
      </w:r>
    </w:p>
    <w:p>
      <w:pPr>
        <w:widowControl w:val="0"/>
        <w:spacing w:line="60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1.一般公共服务支出（类）</w:t>
      </w:r>
      <w:r>
        <w:rPr>
          <w:rFonts w:ascii="仿宋_GB2312" w:hAnsi="仿宋_GB2312" w:eastAsia="仿宋_GB2312" w:cs="仿宋_GB2312"/>
          <w:color w:val="000000"/>
          <w:kern w:val="2"/>
          <w:sz w:val="32"/>
          <w:szCs w:val="32"/>
        </w:rPr>
        <w:t>14835.5</w:t>
      </w:r>
      <w:r>
        <w:rPr>
          <w:rFonts w:hint="eastAsia" w:ascii="仿宋_GB2312" w:hAnsi="仿宋_GB2312" w:eastAsia="仿宋_GB2312" w:cs="仿宋_GB2312"/>
          <w:color w:val="000000"/>
          <w:kern w:val="2"/>
          <w:sz w:val="32"/>
          <w:szCs w:val="32"/>
        </w:rPr>
        <w:t>万元。主要是保障国家统计局山西调查总队系统正常运转的基本支出以及完成全国大型普查与经常性统计调查任务的支出。较202</w:t>
      </w:r>
      <w:r>
        <w:rPr>
          <w:rFonts w:ascii="仿宋_GB2312" w:hAnsi="仿宋_GB2312"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 xml:space="preserve">年决算数 </w:t>
      </w:r>
      <w:r>
        <w:rPr>
          <w:rFonts w:ascii="仿宋_GB2312" w:hAnsi="仿宋_GB2312" w:eastAsia="仿宋_GB2312" w:cs="仿宋_GB2312"/>
          <w:color w:val="000000"/>
          <w:kern w:val="2"/>
          <w:sz w:val="32"/>
          <w:szCs w:val="32"/>
        </w:rPr>
        <w:t>14041.88</w:t>
      </w:r>
      <w:r>
        <w:rPr>
          <w:rFonts w:hint="eastAsia" w:ascii="仿宋_GB2312" w:hAnsi="仿宋_GB2312" w:eastAsia="仿宋_GB2312" w:cs="仿宋_GB2312"/>
          <w:color w:val="000000"/>
          <w:kern w:val="2"/>
          <w:sz w:val="32"/>
          <w:szCs w:val="32"/>
        </w:rPr>
        <w:t>万元，增加</w:t>
      </w:r>
      <w:r>
        <w:rPr>
          <w:rFonts w:ascii="仿宋_GB2312" w:hAnsi="仿宋_GB2312" w:eastAsia="仿宋_GB2312" w:cs="仿宋_GB2312"/>
          <w:color w:val="000000"/>
          <w:kern w:val="2"/>
          <w:sz w:val="32"/>
          <w:szCs w:val="32"/>
        </w:rPr>
        <w:t>793.62</w:t>
      </w:r>
      <w:r>
        <w:rPr>
          <w:rFonts w:hint="eastAsia" w:ascii="仿宋_GB2312" w:hAnsi="仿宋_GB2312" w:eastAsia="仿宋_GB2312" w:cs="仿宋_GB2312"/>
          <w:color w:val="000000"/>
          <w:kern w:val="2"/>
          <w:sz w:val="32"/>
          <w:szCs w:val="32"/>
        </w:rPr>
        <w:t>万元，增幅</w:t>
      </w:r>
      <w:r>
        <w:rPr>
          <w:rFonts w:ascii="仿宋_GB2312" w:hAnsi="仿宋_GB2312" w:eastAsia="仿宋_GB2312" w:cs="仿宋_GB2312"/>
          <w:color w:val="000000"/>
          <w:kern w:val="2"/>
          <w:sz w:val="32"/>
          <w:szCs w:val="32"/>
        </w:rPr>
        <w:t>5.65</w:t>
      </w:r>
      <w:r>
        <w:rPr>
          <w:rFonts w:hint="eastAsia" w:ascii="仿宋_GB2312" w:hAnsi="仿宋_GB2312" w:eastAsia="仿宋_GB2312" w:cs="仿宋_GB2312"/>
          <w:color w:val="000000"/>
          <w:kern w:val="2"/>
          <w:sz w:val="32"/>
          <w:szCs w:val="32"/>
        </w:rPr>
        <w:t>%。</w:t>
      </w:r>
    </w:p>
    <w:p>
      <w:pPr>
        <w:widowControl w:val="0"/>
        <w:spacing w:line="60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2.社会保障和就业支出（类）</w:t>
      </w:r>
      <w:r>
        <w:rPr>
          <w:rFonts w:ascii="仿宋_GB2312" w:hAnsi="仿宋_GB2312" w:eastAsia="仿宋_GB2312" w:cs="仿宋_GB2312"/>
          <w:color w:val="000000"/>
          <w:kern w:val="2"/>
          <w:sz w:val="32"/>
          <w:szCs w:val="32"/>
        </w:rPr>
        <w:t>1335.17</w:t>
      </w:r>
      <w:r>
        <w:rPr>
          <w:rFonts w:hint="eastAsia" w:ascii="仿宋_GB2312" w:hAnsi="仿宋_GB2312" w:eastAsia="仿宋_GB2312" w:cs="仿宋_GB2312"/>
          <w:color w:val="000000"/>
          <w:kern w:val="2"/>
          <w:sz w:val="32"/>
          <w:szCs w:val="32"/>
        </w:rPr>
        <w:t>万元。主要是基本养老保险缴费、职业年金缴费支出。较202</w:t>
      </w:r>
      <w:r>
        <w:rPr>
          <w:rFonts w:ascii="仿宋_GB2312" w:hAnsi="仿宋_GB2312"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年决算数1</w:t>
      </w:r>
      <w:r>
        <w:rPr>
          <w:rFonts w:ascii="仿宋_GB2312" w:hAnsi="仿宋_GB2312" w:eastAsia="仿宋_GB2312" w:cs="仿宋_GB2312"/>
          <w:color w:val="000000"/>
          <w:kern w:val="2"/>
          <w:sz w:val="32"/>
          <w:szCs w:val="32"/>
        </w:rPr>
        <w:t>779.46万元减少</w:t>
      </w:r>
      <w:r>
        <w:rPr>
          <w:rFonts w:hint="eastAsia" w:ascii="仿宋_GB2312" w:hAnsi="仿宋_GB2312" w:eastAsia="仿宋_GB2312" w:cs="仿宋_GB2312"/>
          <w:color w:val="000000"/>
          <w:kern w:val="2"/>
          <w:sz w:val="32"/>
          <w:szCs w:val="32"/>
        </w:rPr>
        <w:t>4</w:t>
      </w:r>
      <w:r>
        <w:rPr>
          <w:rFonts w:ascii="仿宋_GB2312" w:hAnsi="仿宋_GB2312" w:eastAsia="仿宋_GB2312" w:cs="仿宋_GB2312"/>
          <w:color w:val="000000"/>
          <w:kern w:val="2"/>
          <w:sz w:val="32"/>
          <w:szCs w:val="32"/>
        </w:rPr>
        <w:t>44.29万元，减少</w:t>
      </w:r>
      <w:r>
        <w:rPr>
          <w:rFonts w:hint="eastAsia" w:ascii="仿宋_GB2312" w:hAnsi="仿宋_GB2312" w:eastAsia="仿宋_GB2312" w:cs="仿宋_GB2312"/>
          <w:color w:val="000000"/>
          <w:kern w:val="2"/>
          <w:sz w:val="32"/>
          <w:szCs w:val="32"/>
        </w:rPr>
        <w:t>2</w:t>
      </w:r>
      <w:r>
        <w:rPr>
          <w:rFonts w:ascii="仿宋_GB2312" w:hAnsi="仿宋_GB2312" w:eastAsia="仿宋_GB2312" w:cs="仿宋_GB2312"/>
          <w:color w:val="000000"/>
          <w:kern w:val="2"/>
          <w:sz w:val="32"/>
          <w:szCs w:val="32"/>
        </w:rPr>
        <w:t>4.97</w:t>
      </w:r>
      <w:r>
        <w:rPr>
          <w:rFonts w:hint="eastAsia" w:ascii="仿宋_GB2312" w:hAnsi="仿宋_GB2312" w:eastAsia="仿宋_GB2312" w:cs="仿宋_GB2312"/>
          <w:color w:val="000000"/>
          <w:kern w:val="2"/>
          <w:sz w:val="32"/>
          <w:szCs w:val="32"/>
        </w:rPr>
        <w:t>%。主要原因是2021年补缴基本养老保险和职业年金以前</w:t>
      </w:r>
      <w:r>
        <w:rPr>
          <w:rFonts w:ascii="仿宋_GB2312" w:hAnsi="仿宋_GB2312" w:eastAsia="仿宋_GB2312" w:cs="仿宋_GB2312"/>
          <w:color w:val="000000"/>
          <w:kern w:val="2"/>
          <w:sz w:val="32"/>
          <w:szCs w:val="32"/>
        </w:rPr>
        <w:t>年度欠缴费用</w:t>
      </w:r>
      <w:r>
        <w:rPr>
          <w:rFonts w:hint="eastAsia" w:ascii="仿宋_GB2312" w:hAnsi="仿宋_GB2312" w:eastAsia="仿宋_GB2312" w:cs="仿宋_GB2312"/>
          <w:color w:val="000000"/>
          <w:kern w:val="2"/>
          <w:sz w:val="32"/>
          <w:szCs w:val="32"/>
        </w:rPr>
        <w:t>。</w:t>
      </w:r>
    </w:p>
    <w:p>
      <w:pPr>
        <w:widowControl w:val="0"/>
        <w:spacing w:line="600" w:lineRule="exact"/>
        <w:ind w:firstLine="640" w:firstLineChars="200"/>
        <w:jc w:val="both"/>
        <w:rPr>
          <w:rFonts w:ascii="仿宋_GB2312" w:hAnsi="仿宋_GB2312" w:eastAsia="仿宋_GB2312" w:cs="仿宋_GB2312"/>
          <w:color w:val="000000"/>
          <w:kern w:val="2"/>
          <w:sz w:val="32"/>
          <w:szCs w:val="32"/>
        </w:rPr>
      </w:pPr>
      <w:r>
        <w:rPr>
          <w:rFonts w:hint="eastAsia" w:ascii="仿宋" w:hAnsi="仿宋" w:eastAsia="仿宋"/>
          <w:sz w:val="32"/>
          <w:szCs w:val="32"/>
        </w:rPr>
        <w:t>3.卫生健康支出（类）</w:t>
      </w:r>
      <w:r>
        <w:rPr>
          <w:rFonts w:ascii="仿宋" w:hAnsi="仿宋" w:eastAsia="仿宋"/>
          <w:sz w:val="32"/>
          <w:szCs w:val="32"/>
        </w:rPr>
        <w:t>390.04</w:t>
      </w:r>
      <w:r>
        <w:rPr>
          <w:rFonts w:hint="eastAsia" w:ascii="仿宋" w:hAnsi="仿宋" w:eastAsia="仿宋"/>
          <w:sz w:val="32"/>
          <w:szCs w:val="32"/>
        </w:rPr>
        <w:t xml:space="preserve"> 万元。较202</w:t>
      </w:r>
      <w:r>
        <w:rPr>
          <w:rFonts w:ascii="仿宋" w:hAnsi="仿宋" w:eastAsia="仿宋"/>
          <w:sz w:val="32"/>
          <w:szCs w:val="32"/>
        </w:rPr>
        <w:t>1</w:t>
      </w:r>
      <w:r>
        <w:rPr>
          <w:rFonts w:hint="eastAsia" w:ascii="仿宋" w:hAnsi="仿宋" w:eastAsia="仿宋"/>
          <w:sz w:val="32"/>
          <w:szCs w:val="32"/>
        </w:rPr>
        <w:t>年决算数</w:t>
      </w:r>
      <w:r>
        <w:rPr>
          <w:rFonts w:ascii="仿宋" w:hAnsi="仿宋" w:eastAsia="仿宋"/>
          <w:sz w:val="32"/>
          <w:szCs w:val="32"/>
        </w:rPr>
        <w:t>353.89</w:t>
      </w:r>
      <w:r>
        <w:rPr>
          <w:rFonts w:hint="eastAsia" w:ascii="仿宋" w:hAnsi="仿宋" w:eastAsia="仿宋"/>
          <w:sz w:val="32"/>
          <w:szCs w:val="32"/>
        </w:rPr>
        <w:t>万元，减少</w:t>
      </w:r>
      <w:r>
        <w:rPr>
          <w:rFonts w:ascii="仿宋" w:hAnsi="仿宋" w:eastAsia="仿宋"/>
          <w:sz w:val="32"/>
          <w:szCs w:val="32"/>
        </w:rPr>
        <w:t>36.15</w:t>
      </w:r>
      <w:r>
        <w:rPr>
          <w:rFonts w:hint="eastAsia" w:ascii="仿宋" w:hAnsi="仿宋" w:eastAsia="仿宋"/>
          <w:sz w:val="32"/>
          <w:szCs w:val="32"/>
        </w:rPr>
        <w:t>万元，减少</w:t>
      </w:r>
      <w:r>
        <w:rPr>
          <w:rFonts w:ascii="仿宋" w:hAnsi="仿宋" w:eastAsia="仿宋"/>
          <w:sz w:val="32"/>
          <w:szCs w:val="32"/>
        </w:rPr>
        <w:t>10.22</w:t>
      </w:r>
      <w:r>
        <w:rPr>
          <w:rFonts w:hint="eastAsia" w:ascii="仿宋" w:hAnsi="仿宋" w:eastAsia="仿宋"/>
          <w:sz w:val="32"/>
          <w:szCs w:val="32"/>
        </w:rPr>
        <w:t>%。主要是国家统计局山西调查</w:t>
      </w:r>
      <w:r>
        <w:rPr>
          <w:rFonts w:hint="eastAsia" w:ascii="仿宋_GB2312" w:hAnsi="仿宋_GB2312" w:eastAsia="仿宋_GB2312" w:cs="仿宋_GB2312"/>
          <w:color w:val="000000"/>
          <w:kern w:val="2"/>
          <w:sz w:val="32"/>
          <w:szCs w:val="32"/>
        </w:rPr>
        <w:t>队系统有人员退休，基本医疗保险缴费和公务员医疗补助经费支出减少。</w:t>
      </w:r>
    </w:p>
    <w:p>
      <w:pPr>
        <w:widowControl w:val="0"/>
        <w:spacing w:line="60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4.住房保障支出（类）</w:t>
      </w:r>
      <w:r>
        <w:rPr>
          <w:rFonts w:ascii="仿宋_GB2312" w:hAnsi="仿宋_GB2312" w:eastAsia="仿宋_GB2312" w:cs="仿宋_GB2312"/>
          <w:color w:val="000000"/>
          <w:kern w:val="2"/>
          <w:sz w:val="32"/>
          <w:szCs w:val="32"/>
        </w:rPr>
        <w:t>817.38</w:t>
      </w:r>
      <w:r>
        <w:rPr>
          <w:rFonts w:hint="eastAsia" w:ascii="仿宋_GB2312" w:hAnsi="仿宋_GB2312" w:eastAsia="仿宋_GB2312" w:cs="仿宋_GB2312"/>
          <w:color w:val="000000"/>
          <w:kern w:val="2"/>
          <w:sz w:val="32"/>
          <w:szCs w:val="32"/>
        </w:rPr>
        <w:t>万元。主要是按照国家政策规定为职工缴纳住房公积金、发放提租补贴和购房补贴相关支出。较20</w:t>
      </w:r>
      <w:r>
        <w:rPr>
          <w:rFonts w:hint="eastAsia" w:ascii="仿宋" w:hAnsi="仿宋" w:eastAsia="仿宋"/>
          <w:sz w:val="32"/>
          <w:szCs w:val="32"/>
        </w:rPr>
        <w:t>2</w:t>
      </w:r>
      <w:r>
        <w:rPr>
          <w:rFonts w:ascii="仿宋" w:hAnsi="仿宋" w:eastAsia="仿宋"/>
          <w:sz w:val="32"/>
          <w:szCs w:val="32"/>
        </w:rPr>
        <w:t>1</w:t>
      </w:r>
      <w:r>
        <w:rPr>
          <w:rFonts w:hint="eastAsia" w:ascii="仿宋_GB2312" w:hAnsi="仿宋_GB2312" w:eastAsia="仿宋_GB2312" w:cs="仿宋_GB2312"/>
          <w:color w:val="000000"/>
          <w:kern w:val="2"/>
          <w:sz w:val="32"/>
          <w:szCs w:val="32"/>
        </w:rPr>
        <w:t>年决算数</w:t>
      </w:r>
      <w:r>
        <w:rPr>
          <w:rFonts w:ascii="仿宋_GB2312" w:hAnsi="仿宋_GB2312" w:eastAsia="仿宋_GB2312" w:cs="仿宋_GB2312"/>
          <w:color w:val="000000"/>
          <w:kern w:val="2"/>
          <w:sz w:val="32"/>
          <w:szCs w:val="32"/>
        </w:rPr>
        <w:t>832.11</w:t>
      </w:r>
      <w:r>
        <w:rPr>
          <w:rFonts w:hint="eastAsia" w:ascii="仿宋_GB2312" w:hAnsi="仿宋_GB2312" w:eastAsia="仿宋_GB2312" w:cs="仿宋_GB2312"/>
          <w:color w:val="000000"/>
          <w:kern w:val="2"/>
          <w:sz w:val="32"/>
          <w:szCs w:val="32"/>
        </w:rPr>
        <w:t>万元，减少1</w:t>
      </w:r>
      <w:r>
        <w:rPr>
          <w:rFonts w:ascii="仿宋_GB2312" w:hAnsi="仿宋_GB2312" w:eastAsia="仿宋_GB2312" w:cs="仿宋_GB2312"/>
          <w:color w:val="000000"/>
          <w:kern w:val="2"/>
          <w:sz w:val="32"/>
          <w:szCs w:val="32"/>
        </w:rPr>
        <w:t>4.73</w:t>
      </w:r>
      <w:r>
        <w:rPr>
          <w:rFonts w:hint="eastAsia" w:ascii="仿宋_GB2312" w:hAnsi="仿宋_GB2312" w:eastAsia="仿宋_GB2312" w:cs="仿宋_GB2312"/>
          <w:color w:val="000000"/>
          <w:kern w:val="2"/>
          <w:sz w:val="32"/>
          <w:szCs w:val="32"/>
        </w:rPr>
        <w:t>万元，减少1</w:t>
      </w:r>
      <w:r>
        <w:rPr>
          <w:rFonts w:ascii="仿宋_GB2312" w:hAnsi="仿宋_GB2312" w:eastAsia="仿宋_GB2312" w:cs="仿宋_GB2312"/>
          <w:color w:val="000000"/>
          <w:kern w:val="2"/>
          <w:sz w:val="32"/>
          <w:szCs w:val="32"/>
        </w:rPr>
        <w:t>.77</w:t>
      </w:r>
      <w:r>
        <w:rPr>
          <w:rFonts w:hint="eastAsia" w:ascii="仿宋_GB2312" w:hAnsi="仿宋_GB2312" w:eastAsia="仿宋_GB2312" w:cs="仿宋_GB2312"/>
          <w:color w:val="000000"/>
          <w:kern w:val="2"/>
          <w:sz w:val="32"/>
          <w:szCs w:val="32"/>
        </w:rPr>
        <w:t>%。</w:t>
      </w:r>
    </w:p>
    <w:p>
      <w:pPr>
        <w:spacing w:line="600" w:lineRule="exact"/>
        <w:ind w:firstLine="640" w:firstLineChars="200"/>
        <w:rPr>
          <w:sz w:val="20"/>
          <w:szCs w:val="20"/>
        </w:rPr>
      </w:pPr>
      <w:r>
        <w:rPr>
          <w:rFonts w:ascii="黑体" w:hAnsi="黑体" w:eastAsia="黑体" w:cs="黑体"/>
          <w:sz w:val="32"/>
          <w:szCs w:val="32"/>
        </w:rPr>
        <w:t>二、一般公共预算财政拨款支出情况说明</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年度一般公共预算财政拨款支出</w:t>
      </w:r>
      <w:r>
        <w:rPr>
          <w:rFonts w:ascii="仿宋" w:hAnsi="仿宋" w:eastAsia="仿宋"/>
          <w:sz w:val="32"/>
          <w:szCs w:val="32"/>
        </w:rPr>
        <w:t>11829.96</w:t>
      </w:r>
      <w:r>
        <w:rPr>
          <w:rFonts w:hint="eastAsia" w:ascii="仿宋" w:hAnsi="仿宋" w:eastAsia="仿宋"/>
          <w:sz w:val="32"/>
          <w:szCs w:val="32"/>
        </w:rPr>
        <w:t>万元，支出具体情况如下：</w:t>
      </w:r>
    </w:p>
    <w:p>
      <w:pPr>
        <w:pStyle w:val="7"/>
        <w:spacing w:line="600" w:lineRule="exact"/>
        <w:ind w:firstLine="640"/>
        <w:rPr>
          <w:rFonts w:ascii="楷体" w:hAnsi="楷体" w:eastAsia="楷体" w:cs="楷体"/>
          <w:color w:val="000000"/>
          <w:sz w:val="32"/>
          <w:szCs w:val="32"/>
        </w:rPr>
      </w:pPr>
      <w:bookmarkStart w:id="19" w:name="page32"/>
      <w:bookmarkEnd w:id="19"/>
      <w:r>
        <w:rPr>
          <w:rFonts w:hint="eastAsia" w:ascii="楷体" w:hAnsi="楷体" w:eastAsia="楷体" w:cs="楷体"/>
          <w:color w:val="000000"/>
          <w:sz w:val="32"/>
          <w:szCs w:val="32"/>
        </w:rPr>
        <w:t>（一）一般公共服务支出（类）统计信息事务（款）。</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1.行政运行（项）。年初预算数为7595.11万元，支出决算数为</w:t>
      </w:r>
      <w:r>
        <w:rPr>
          <w:rFonts w:ascii="仿宋" w:hAnsi="仿宋" w:eastAsia="仿宋"/>
          <w:sz w:val="32"/>
          <w:szCs w:val="32"/>
        </w:rPr>
        <w:t>7564.1</w:t>
      </w:r>
      <w:r>
        <w:rPr>
          <w:rFonts w:hint="eastAsia" w:ascii="仿宋" w:hAnsi="仿宋" w:eastAsia="仿宋"/>
          <w:sz w:val="32"/>
          <w:szCs w:val="32"/>
        </w:rPr>
        <w:t>万元，完成年初预算的</w:t>
      </w:r>
      <w:r>
        <w:rPr>
          <w:rFonts w:ascii="仿宋" w:hAnsi="仿宋" w:eastAsia="仿宋"/>
          <w:sz w:val="32"/>
          <w:szCs w:val="32"/>
        </w:rPr>
        <w:t>99.59</w:t>
      </w:r>
      <w:r>
        <w:rPr>
          <w:rFonts w:hint="eastAsia" w:ascii="仿宋" w:hAnsi="仿宋" w:eastAsia="仿宋"/>
          <w:sz w:val="32"/>
          <w:szCs w:val="32"/>
        </w:rPr>
        <w:t>%。决算数小于预算数的主要原因是2022年受新冠</w:t>
      </w:r>
      <w:r>
        <w:rPr>
          <w:rFonts w:ascii="仿宋" w:hAnsi="仿宋" w:eastAsia="仿宋"/>
          <w:sz w:val="32"/>
          <w:szCs w:val="32"/>
        </w:rPr>
        <w:t>疫情影响</w:t>
      </w:r>
      <w:r>
        <w:rPr>
          <w:rFonts w:hint="eastAsia" w:ascii="仿宋" w:hAnsi="仿宋" w:eastAsia="仿宋"/>
          <w:sz w:val="32"/>
          <w:szCs w:val="32"/>
        </w:rPr>
        <w:t>，总队</w:t>
      </w:r>
      <w:r>
        <w:rPr>
          <w:rFonts w:ascii="仿宋" w:hAnsi="仿宋" w:eastAsia="仿宋"/>
          <w:sz w:val="32"/>
          <w:szCs w:val="32"/>
        </w:rPr>
        <w:t>本级和部分市县队</w:t>
      </w:r>
      <w:r>
        <w:rPr>
          <w:rFonts w:hint="eastAsia" w:ascii="仿宋" w:hAnsi="仿宋" w:eastAsia="仿宋"/>
          <w:sz w:val="32"/>
          <w:szCs w:val="32"/>
        </w:rPr>
        <w:t>个别</w:t>
      </w:r>
      <w:r>
        <w:rPr>
          <w:rFonts w:ascii="仿宋" w:hAnsi="仿宋" w:eastAsia="仿宋"/>
          <w:sz w:val="32"/>
          <w:szCs w:val="32"/>
        </w:rPr>
        <w:t>支</w:t>
      </w:r>
      <w:r>
        <w:rPr>
          <w:rFonts w:hint="eastAsia" w:ascii="仿宋" w:hAnsi="仿宋" w:eastAsia="仿宋"/>
          <w:sz w:val="32"/>
          <w:szCs w:val="32"/>
        </w:rPr>
        <w:t>出</w:t>
      </w:r>
      <w:r>
        <w:rPr>
          <w:rFonts w:ascii="仿宋" w:hAnsi="仿宋" w:eastAsia="仿宋"/>
          <w:sz w:val="32"/>
          <w:szCs w:val="32"/>
        </w:rPr>
        <w:t>未能</w:t>
      </w:r>
      <w:r>
        <w:rPr>
          <w:rFonts w:hint="eastAsia" w:ascii="仿宋" w:hAnsi="仿宋" w:eastAsia="仿宋"/>
          <w:sz w:val="32"/>
          <w:szCs w:val="32"/>
        </w:rPr>
        <w:t>及时支付造成</w:t>
      </w:r>
      <w:r>
        <w:rPr>
          <w:rFonts w:ascii="仿宋" w:hAnsi="仿宋" w:eastAsia="仿宋"/>
          <w:sz w:val="32"/>
          <w:szCs w:val="32"/>
        </w:rPr>
        <w:t>结转</w:t>
      </w:r>
      <w:r>
        <w:rPr>
          <w:rFonts w:hint="eastAsia" w:ascii="仿宋" w:hAnsi="仿宋" w:eastAsia="仿宋"/>
          <w:sz w:val="32"/>
          <w:szCs w:val="32"/>
        </w:rPr>
        <w:t>。</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2.一般行政管理事务（项）。年初预算数为</w:t>
      </w:r>
      <w:r>
        <w:rPr>
          <w:rFonts w:ascii="仿宋" w:hAnsi="仿宋" w:eastAsia="仿宋"/>
          <w:sz w:val="32"/>
          <w:szCs w:val="32"/>
        </w:rPr>
        <w:t>135.00</w:t>
      </w:r>
      <w:r>
        <w:rPr>
          <w:rFonts w:hint="eastAsia" w:ascii="仿宋" w:hAnsi="仿宋" w:eastAsia="仿宋"/>
          <w:sz w:val="32"/>
          <w:szCs w:val="32"/>
        </w:rPr>
        <w:t>万元，支出决算数为</w:t>
      </w:r>
      <w:r>
        <w:rPr>
          <w:rFonts w:ascii="仿宋" w:hAnsi="仿宋" w:eastAsia="仿宋"/>
          <w:sz w:val="32"/>
          <w:szCs w:val="32"/>
        </w:rPr>
        <w:t>132.96</w:t>
      </w:r>
      <w:r>
        <w:rPr>
          <w:rFonts w:hint="eastAsia" w:ascii="仿宋" w:hAnsi="仿宋" w:eastAsia="仿宋"/>
          <w:sz w:val="32"/>
          <w:szCs w:val="32"/>
        </w:rPr>
        <w:t>万元，完成年初预算的</w:t>
      </w:r>
      <w:r>
        <w:rPr>
          <w:rFonts w:ascii="仿宋" w:hAnsi="仿宋" w:eastAsia="仿宋"/>
          <w:sz w:val="32"/>
          <w:szCs w:val="32"/>
        </w:rPr>
        <w:t>98.49</w:t>
      </w:r>
      <w:r>
        <w:rPr>
          <w:rFonts w:hint="eastAsia" w:ascii="仿宋" w:hAnsi="仿宋" w:eastAsia="仿宋"/>
          <w:sz w:val="32"/>
          <w:szCs w:val="32"/>
        </w:rPr>
        <w:t>%。</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3.专项统计业务（项）。年初预算数为2</w:t>
      </w:r>
      <w:r>
        <w:rPr>
          <w:rFonts w:ascii="仿宋" w:hAnsi="仿宋" w:eastAsia="仿宋"/>
          <w:sz w:val="32"/>
          <w:szCs w:val="32"/>
        </w:rPr>
        <w:t>67</w:t>
      </w:r>
      <w:r>
        <w:rPr>
          <w:rFonts w:hint="eastAsia" w:ascii="仿宋" w:hAnsi="仿宋" w:eastAsia="仿宋"/>
          <w:sz w:val="32"/>
          <w:szCs w:val="32"/>
        </w:rPr>
        <w:t>.00万元，支出决算数为</w:t>
      </w:r>
      <w:r>
        <w:rPr>
          <w:rFonts w:ascii="仿宋" w:hAnsi="仿宋" w:eastAsia="仿宋"/>
          <w:sz w:val="32"/>
          <w:szCs w:val="32"/>
        </w:rPr>
        <w:t>191</w:t>
      </w:r>
      <w:r>
        <w:rPr>
          <w:rFonts w:hint="eastAsia" w:ascii="仿宋" w:hAnsi="仿宋" w:eastAsia="仿宋"/>
          <w:sz w:val="32"/>
          <w:szCs w:val="32"/>
        </w:rPr>
        <w:t>万元，完成年初预算的</w:t>
      </w:r>
      <w:r>
        <w:rPr>
          <w:rFonts w:ascii="仿宋" w:hAnsi="仿宋" w:eastAsia="仿宋"/>
          <w:sz w:val="32"/>
          <w:szCs w:val="32"/>
        </w:rPr>
        <w:t>71.54</w:t>
      </w:r>
      <w:r>
        <w:rPr>
          <w:rFonts w:hint="eastAsia" w:ascii="仿宋" w:hAnsi="仿宋" w:eastAsia="仿宋"/>
          <w:sz w:val="32"/>
          <w:szCs w:val="32"/>
        </w:rPr>
        <w:t>%，决算数小于预算数的主要原因是2022年受新冠</w:t>
      </w:r>
      <w:r>
        <w:rPr>
          <w:rFonts w:ascii="仿宋" w:hAnsi="仿宋" w:eastAsia="仿宋"/>
          <w:sz w:val="32"/>
          <w:szCs w:val="32"/>
        </w:rPr>
        <w:t>疫情影响</w:t>
      </w:r>
      <w:r>
        <w:rPr>
          <w:rFonts w:hint="eastAsia" w:ascii="仿宋" w:hAnsi="仿宋" w:eastAsia="仿宋"/>
          <w:sz w:val="32"/>
          <w:szCs w:val="32"/>
        </w:rPr>
        <w:t>，总队</w:t>
      </w:r>
      <w:r>
        <w:rPr>
          <w:rFonts w:ascii="仿宋" w:hAnsi="仿宋" w:eastAsia="仿宋"/>
          <w:sz w:val="32"/>
          <w:szCs w:val="32"/>
        </w:rPr>
        <w:t>本级和部分市县队</w:t>
      </w:r>
      <w:r>
        <w:rPr>
          <w:rFonts w:hint="eastAsia" w:ascii="仿宋" w:hAnsi="仿宋" w:eastAsia="仿宋"/>
          <w:sz w:val="32"/>
          <w:szCs w:val="32"/>
        </w:rPr>
        <w:t>有关</w:t>
      </w:r>
      <w:r>
        <w:rPr>
          <w:rFonts w:ascii="仿宋" w:hAnsi="仿宋" w:eastAsia="仿宋"/>
          <w:sz w:val="32"/>
          <w:szCs w:val="32"/>
        </w:rPr>
        <w:t>专项调查项目不能正常开展，相关支出未能</w:t>
      </w:r>
      <w:r>
        <w:rPr>
          <w:rFonts w:hint="eastAsia" w:ascii="仿宋" w:hAnsi="仿宋" w:eastAsia="仿宋"/>
          <w:sz w:val="32"/>
          <w:szCs w:val="32"/>
        </w:rPr>
        <w:t>支付造成</w:t>
      </w:r>
      <w:r>
        <w:rPr>
          <w:rFonts w:ascii="仿宋" w:hAnsi="仿宋" w:eastAsia="仿宋"/>
          <w:sz w:val="32"/>
          <w:szCs w:val="32"/>
        </w:rPr>
        <w:t>结转</w:t>
      </w:r>
      <w:r>
        <w:rPr>
          <w:rFonts w:hint="eastAsia" w:ascii="仿宋" w:hAnsi="仿宋" w:eastAsia="仿宋"/>
          <w:sz w:val="32"/>
          <w:szCs w:val="32"/>
        </w:rPr>
        <w:t>。</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4.统计管理（项）。年初预算数为</w:t>
      </w:r>
      <w:r>
        <w:rPr>
          <w:rFonts w:ascii="仿宋" w:hAnsi="仿宋" w:eastAsia="仿宋"/>
          <w:sz w:val="32"/>
          <w:szCs w:val="32"/>
        </w:rPr>
        <w:t>36</w:t>
      </w:r>
      <w:r>
        <w:rPr>
          <w:rFonts w:hint="eastAsia" w:ascii="仿宋" w:hAnsi="仿宋" w:eastAsia="仿宋"/>
          <w:sz w:val="32"/>
          <w:szCs w:val="32"/>
        </w:rPr>
        <w:t>.00万元，支出决算数为</w:t>
      </w:r>
      <w:r>
        <w:rPr>
          <w:rFonts w:ascii="仿宋" w:hAnsi="仿宋" w:eastAsia="仿宋"/>
          <w:sz w:val="32"/>
          <w:szCs w:val="32"/>
        </w:rPr>
        <w:t>36</w:t>
      </w:r>
      <w:r>
        <w:rPr>
          <w:rFonts w:hint="eastAsia" w:ascii="仿宋" w:hAnsi="仿宋" w:eastAsia="仿宋"/>
          <w:sz w:val="32"/>
          <w:szCs w:val="32"/>
        </w:rPr>
        <w:t>万元，完成年初预算的100%。</w:t>
      </w:r>
    </w:p>
    <w:p>
      <w:pPr>
        <w:pStyle w:val="7"/>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统计抽样调查（项）。年初预算数为</w:t>
      </w:r>
      <w:r>
        <w:rPr>
          <w:rFonts w:ascii="仿宋" w:hAnsi="仿宋" w:eastAsia="仿宋"/>
          <w:sz w:val="32"/>
          <w:szCs w:val="32"/>
        </w:rPr>
        <w:t>1366.9</w:t>
      </w:r>
      <w:r>
        <w:rPr>
          <w:rFonts w:hint="eastAsia" w:ascii="仿宋" w:hAnsi="仿宋" w:eastAsia="仿宋"/>
          <w:sz w:val="32"/>
          <w:szCs w:val="32"/>
        </w:rPr>
        <w:t>万元，支出决算数为</w:t>
      </w:r>
      <w:r>
        <w:rPr>
          <w:rFonts w:ascii="仿宋" w:hAnsi="仿宋" w:eastAsia="仿宋"/>
          <w:sz w:val="32"/>
          <w:szCs w:val="32"/>
        </w:rPr>
        <w:t>1363.31</w:t>
      </w:r>
      <w:r>
        <w:rPr>
          <w:rFonts w:hint="eastAsia" w:ascii="仿宋" w:hAnsi="仿宋" w:eastAsia="仿宋"/>
          <w:sz w:val="32"/>
          <w:szCs w:val="32"/>
        </w:rPr>
        <w:t>万元，完成年初预算的</w:t>
      </w:r>
      <w:r>
        <w:rPr>
          <w:rFonts w:ascii="仿宋" w:hAnsi="仿宋" w:eastAsia="仿宋"/>
          <w:sz w:val="32"/>
          <w:szCs w:val="32"/>
        </w:rPr>
        <w:t>99.74</w:t>
      </w:r>
      <w:r>
        <w:rPr>
          <w:rFonts w:hint="eastAsia" w:ascii="仿宋" w:hAnsi="仿宋" w:eastAsia="仿宋"/>
          <w:sz w:val="32"/>
          <w:szCs w:val="32"/>
        </w:rPr>
        <w:t>%，决算数小于预算数的主要原因是2022年受新冠</w:t>
      </w:r>
      <w:r>
        <w:rPr>
          <w:rFonts w:ascii="仿宋" w:hAnsi="仿宋" w:eastAsia="仿宋"/>
          <w:sz w:val="32"/>
          <w:szCs w:val="32"/>
        </w:rPr>
        <w:t>疫情影响</w:t>
      </w:r>
      <w:r>
        <w:rPr>
          <w:rFonts w:hint="eastAsia" w:ascii="仿宋" w:hAnsi="仿宋" w:eastAsia="仿宋"/>
          <w:sz w:val="32"/>
          <w:szCs w:val="32"/>
        </w:rPr>
        <w:t>，总队</w:t>
      </w:r>
      <w:r>
        <w:rPr>
          <w:rFonts w:ascii="仿宋" w:hAnsi="仿宋" w:eastAsia="仿宋"/>
          <w:sz w:val="32"/>
          <w:szCs w:val="32"/>
        </w:rPr>
        <w:t>本级和</w:t>
      </w:r>
      <w:r>
        <w:rPr>
          <w:rFonts w:hint="eastAsia" w:ascii="仿宋" w:hAnsi="仿宋" w:eastAsia="仿宋"/>
          <w:sz w:val="32"/>
          <w:szCs w:val="32"/>
        </w:rPr>
        <w:t>个别</w:t>
      </w:r>
      <w:r>
        <w:rPr>
          <w:rFonts w:ascii="仿宋" w:hAnsi="仿宋" w:eastAsia="仿宋"/>
          <w:sz w:val="32"/>
          <w:szCs w:val="32"/>
        </w:rPr>
        <w:t>市县队</w:t>
      </w:r>
      <w:r>
        <w:rPr>
          <w:rFonts w:hint="eastAsia" w:ascii="仿宋" w:hAnsi="仿宋" w:eastAsia="仿宋"/>
          <w:sz w:val="32"/>
          <w:szCs w:val="32"/>
        </w:rPr>
        <w:t>未</w:t>
      </w:r>
      <w:r>
        <w:rPr>
          <w:rFonts w:ascii="仿宋" w:hAnsi="仿宋" w:eastAsia="仿宋"/>
          <w:sz w:val="32"/>
          <w:szCs w:val="32"/>
        </w:rPr>
        <w:t>能正常开展有关调查项目</w:t>
      </w:r>
      <w:r>
        <w:rPr>
          <w:rFonts w:hint="eastAsia" w:ascii="仿宋" w:hAnsi="仿宋" w:eastAsia="仿宋"/>
          <w:sz w:val="32"/>
          <w:szCs w:val="32"/>
        </w:rPr>
        <w:t>，</w:t>
      </w:r>
      <w:r>
        <w:rPr>
          <w:rFonts w:ascii="仿宋" w:hAnsi="仿宋" w:eastAsia="仿宋"/>
          <w:sz w:val="32"/>
          <w:szCs w:val="32"/>
        </w:rPr>
        <w:t>相关支出</w:t>
      </w:r>
      <w:r>
        <w:rPr>
          <w:rFonts w:hint="eastAsia" w:ascii="仿宋" w:hAnsi="仿宋" w:eastAsia="仿宋"/>
          <w:sz w:val="32"/>
          <w:szCs w:val="32"/>
        </w:rPr>
        <w:t>受到影响。</w:t>
      </w:r>
    </w:p>
    <w:p>
      <w:pPr>
        <w:spacing w:line="60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（二）社会保障和就业支出（类）行政事业单位养老支出（款）</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1.机关</w:t>
      </w:r>
      <w:r>
        <w:rPr>
          <w:rFonts w:ascii="仿宋" w:hAnsi="仿宋" w:eastAsia="仿宋"/>
          <w:sz w:val="32"/>
          <w:szCs w:val="32"/>
        </w:rPr>
        <w:t>事业单位基本养老保险缴费支出（项）。年初预</w:t>
      </w:r>
      <w:r>
        <w:rPr>
          <w:rFonts w:hint="eastAsia" w:ascii="仿宋" w:hAnsi="仿宋" w:eastAsia="仿宋"/>
          <w:sz w:val="32"/>
          <w:szCs w:val="32"/>
        </w:rPr>
        <w:t>算数为</w:t>
      </w:r>
      <w:r>
        <w:rPr>
          <w:rFonts w:ascii="仿宋" w:hAnsi="仿宋" w:eastAsia="仿宋"/>
          <w:sz w:val="32"/>
          <w:szCs w:val="32"/>
        </w:rPr>
        <w:t>742.37</w:t>
      </w:r>
      <w:r>
        <w:rPr>
          <w:rFonts w:hint="eastAsia" w:ascii="仿宋" w:hAnsi="仿宋" w:eastAsia="仿宋"/>
          <w:sz w:val="32"/>
          <w:szCs w:val="32"/>
        </w:rPr>
        <w:t>万元，支出决算数为</w:t>
      </w:r>
      <w:r>
        <w:rPr>
          <w:rFonts w:ascii="仿宋" w:hAnsi="仿宋" w:eastAsia="仿宋"/>
          <w:sz w:val="32"/>
          <w:szCs w:val="32"/>
        </w:rPr>
        <w:t>902.59</w:t>
      </w:r>
      <w:r>
        <w:rPr>
          <w:rFonts w:hint="eastAsia" w:ascii="仿宋" w:hAnsi="仿宋" w:eastAsia="仿宋"/>
          <w:sz w:val="32"/>
          <w:szCs w:val="32"/>
        </w:rPr>
        <w:t>万元，</w:t>
      </w:r>
      <w:r>
        <w:rPr>
          <w:rFonts w:ascii="仿宋" w:hAnsi="仿宋" w:eastAsia="仿宋"/>
          <w:sz w:val="32"/>
          <w:szCs w:val="32"/>
        </w:rPr>
        <w:t>决算数</w:t>
      </w:r>
      <w:r>
        <w:rPr>
          <w:rFonts w:hint="eastAsia" w:ascii="仿宋" w:hAnsi="仿宋" w:eastAsia="仿宋"/>
          <w:sz w:val="32"/>
          <w:szCs w:val="32"/>
        </w:rPr>
        <w:t>大</w:t>
      </w:r>
      <w:r>
        <w:rPr>
          <w:rFonts w:ascii="仿宋" w:hAnsi="仿宋" w:eastAsia="仿宋"/>
          <w:sz w:val="32"/>
          <w:szCs w:val="32"/>
        </w:rPr>
        <w:t>于</w:t>
      </w:r>
      <w:r>
        <w:rPr>
          <w:rFonts w:hint="eastAsia" w:ascii="仿宋" w:hAnsi="仿宋" w:eastAsia="仿宋"/>
          <w:sz w:val="32"/>
          <w:szCs w:val="32"/>
        </w:rPr>
        <w:t>预算数的主要原因有</w:t>
      </w:r>
      <w:r>
        <w:rPr>
          <w:rFonts w:ascii="仿宋" w:hAnsi="仿宋" w:eastAsia="仿宋"/>
          <w:sz w:val="32"/>
          <w:szCs w:val="32"/>
        </w:rPr>
        <w:t>上年养老保险结转经费</w:t>
      </w:r>
      <w:r>
        <w:rPr>
          <w:rFonts w:hint="eastAsia" w:ascii="仿宋" w:hAnsi="仿宋" w:eastAsia="仿宋"/>
          <w:sz w:val="32"/>
          <w:szCs w:val="32"/>
        </w:rPr>
        <w:t>，</w:t>
      </w:r>
      <w:r>
        <w:rPr>
          <w:rFonts w:ascii="仿宋" w:hAnsi="仿宋" w:eastAsia="仿宋"/>
          <w:sz w:val="32"/>
          <w:szCs w:val="32"/>
        </w:rPr>
        <w:t>因</w:t>
      </w:r>
      <w:r>
        <w:rPr>
          <w:rFonts w:hint="eastAsia" w:ascii="仿宋" w:hAnsi="仿宋" w:eastAsia="仿宋"/>
          <w:sz w:val="32"/>
          <w:szCs w:val="32"/>
        </w:rPr>
        <w:t>2021年年末</w:t>
      </w:r>
      <w:r>
        <w:rPr>
          <w:rFonts w:ascii="仿宋" w:hAnsi="仿宋" w:eastAsia="仿宋"/>
          <w:sz w:val="32"/>
          <w:szCs w:val="32"/>
        </w:rPr>
        <w:t>下达</w:t>
      </w:r>
      <w:r>
        <w:rPr>
          <w:rFonts w:hint="eastAsia" w:ascii="仿宋" w:hAnsi="仿宋" w:eastAsia="仿宋"/>
          <w:sz w:val="32"/>
          <w:szCs w:val="32"/>
        </w:rPr>
        <w:t>养老</w:t>
      </w:r>
      <w:r>
        <w:rPr>
          <w:rFonts w:ascii="仿宋" w:hAnsi="仿宋" w:eastAsia="仿宋"/>
          <w:sz w:val="32"/>
          <w:szCs w:val="32"/>
        </w:rPr>
        <w:t>补助经费</w:t>
      </w:r>
      <w:r>
        <w:rPr>
          <w:rFonts w:hint="eastAsia" w:ascii="仿宋" w:hAnsi="仿宋" w:eastAsia="仿宋"/>
          <w:sz w:val="32"/>
          <w:szCs w:val="32"/>
        </w:rPr>
        <w:t>时，社保</w:t>
      </w:r>
      <w:r>
        <w:rPr>
          <w:rFonts w:ascii="仿宋" w:hAnsi="仿宋" w:eastAsia="仿宋"/>
          <w:sz w:val="32"/>
          <w:szCs w:val="32"/>
        </w:rPr>
        <w:t>系统</w:t>
      </w:r>
      <w:r>
        <w:rPr>
          <w:rFonts w:hint="eastAsia" w:ascii="仿宋" w:hAnsi="仿宋" w:eastAsia="仿宋"/>
          <w:sz w:val="32"/>
          <w:szCs w:val="32"/>
        </w:rPr>
        <w:t>不能生成缴费</w:t>
      </w:r>
      <w:r>
        <w:rPr>
          <w:rFonts w:ascii="仿宋" w:hAnsi="仿宋" w:eastAsia="仿宋"/>
          <w:sz w:val="32"/>
          <w:szCs w:val="32"/>
        </w:rPr>
        <w:t>单</w:t>
      </w:r>
      <w:r>
        <w:rPr>
          <w:rFonts w:hint="eastAsia" w:ascii="仿宋" w:hAnsi="仿宋" w:eastAsia="仿宋"/>
          <w:sz w:val="32"/>
          <w:szCs w:val="32"/>
        </w:rPr>
        <w:t>，</w:t>
      </w:r>
      <w:r>
        <w:rPr>
          <w:rFonts w:ascii="仿宋" w:hAnsi="仿宋" w:eastAsia="仿宋"/>
          <w:sz w:val="32"/>
          <w:szCs w:val="32"/>
        </w:rPr>
        <w:t>造成部分市县队未能</w:t>
      </w:r>
      <w:r>
        <w:rPr>
          <w:rFonts w:hint="eastAsia" w:ascii="仿宋" w:hAnsi="仿宋" w:eastAsia="仿宋"/>
          <w:sz w:val="32"/>
          <w:szCs w:val="32"/>
        </w:rPr>
        <w:t>及时缴费，</w:t>
      </w:r>
      <w:r>
        <w:rPr>
          <w:rFonts w:ascii="仿宋" w:hAnsi="仿宋" w:eastAsia="仿宋"/>
          <w:sz w:val="32"/>
          <w:szCs w:val="32"/>
        </w:rPr>
        <w:t>从而</w:t>
      </w:r>
      <w:r>
        <w:rPr>
          <w:rFonts w:hint="eastAsia" w:ascii="仿宋" w:hAnsi="仿宋" w:eastAsia="仿宋"/>
          <w:sz w:val="32"/>
          <w:szCs w:val="32"/>
        </w:rPr>
        <w:t>造成</w:t>
      </w:r>
      <w:r>
        <w:rPr>
          <w:rFonts w:ascii="仿宋" w:hAnsi="仿宋" w:eastAsia="仿宋"/>
          <w:sz w:val="32"/>
          <w:szCs w:val="32"/>
        </w:rPr>
        <w:t>结转</w:t>
      </w:r>
      <w:r>
        <w:rPr>
          <w:rFonts w:hint="eastAsia" w:ascii="仿宋" w:hAnsi="仿宋" w:eastAsia="仿宋"/>
          <w:sz w:val="32"/>
          <w:szCs w:val="32"/>
        </w:rPr>
        <w:t>。2.</w:t>
      </w:r>
      <w:r>
        <w:rPr>
          <w:rFonts w:ascii="仿宋" w:hAnsi="仿宋" w:eastAsia="仿宋"/>
          <w:sz w:val="32"/>
          <w:szCs w:val="32"/>
        </w:rPr>
        <w:t>机关事业单位职业年金缴费支出（项）。年初预算数</w:t>
      </w:r>
      <w:r>
        <w:rPr>
          <w:rFonts w:hint="eastAsia" w:ascii="仿宋" w:hAnsi="仿宋" w:eastAsia="仿宋"/>
          <w:sz w:val="32"/>
          <w:szCs w:val="32"/>
        </w:rPr>
        <w:t>为</w:t>
      </w:r>
      <w:r>
        <w:rPr>
          <w:rFonts w:ascii="仿宋" w:hAnsi="仿宋" w:eastAsia="仿宋"/>
          <w:sz w:val="32"/>
          <w:szCs w:val="32"/>
        </w:rPr>
        <w:t>371.18</w:t>
      </w:r>
      <w:r>
        <w:rPr>
          <w:rFonts w:hint="eastAsia" w:ascii="仿宋" w:hAnsi="仿宋" w:eastAsia="仿宋"/>
          <w:sz w:val="32"/>
          <w:szCs w:val="32"/>
        </w:rPr>
        <w:t>万元，支出决算数为</w:t>
      </w:r>
      <w:r>
        <w:rPr>
          <w:rFonts w:ascii="仿宋" w:hAnsi="仿宋" w:eastAsia="仿宋"/>
          <w:sz w:val="32"/>
          <w:szCs w:val="32"/>
        </w:rPr>
        <w:t>432.58</w:t>
      </w:r>
      <w:r>
        <w:rPr>
          <w:rFonts w:hint="eastAsia" w:ascii="仿宋" w:hAnsi="仿宋" w:eastAsia="仿宋"/>
          <w:sz w:val="32"/>
          <w:szCs w:val="32"/>
        </w:rPr>
        <w:t>万元，</w:t>
      </w:r>
      <w:r>
        <w:rPr>
          <w:rFonts w:ascii="仿宋" w:hAnsi="仿宋" w:eastAsia="仿宋"/>
          <w:sz w:val="32"/>
          <w:szCs w:val="32"/>
        </w:rPr>
        <w:t>决算数</w:t>
      </w:r>
      <w:r>
        <w:rPr>
          <w:rFonts w:hint="eastAsia" w:ascii="仿宋" w:hAnsi="仿宋" w:eastAsia="仿宋"/>
          <w:sz w:val="32"/>
          <w:szCs w:val="32"/>
        </w:rPr>
        <w:t>大</w:t>
      </w:r>
      <w:r>
        <w:rPr>
          <w:rFonts w:ascii="仿宋" w:hAnsi="仿宋" w:eastAsia="仿宋"/>
          <w:sz w:val="32"/>
          <w:szCs w:val="32"/>
        </w:rPr>
        <w:t>于</w:t>
      </w:r>
      <w:r>
        <w:rPr>
          <w:rFonts w:hint="eastAsia" w:ascii="仿宋" w:hAnsi="仿宋" w:eastAsia="仿宋"/>
          <w:sz w:val="32"/>
          <w:szCs w:val="32"/>
        </w:rPr>
        <w:t>预算数的主要原因有</w:t>
      </w:r>
      <w:r>
        <w:rPr>
          <w:rFonts w:ascii="仿宋" w:hAnsi="仿宋" w:eastAsia="仿宋"/>
          <w:sz w:val="32"/>
          <w:szCs w:val="32"/>
        </w:rPr>
        <w:t>上年</w:t>
      </w:r>
      <w:r>
        <w:rPr>
          <w:rFonts w:hint="eastAsia" w:ascii="仿宋" w:hAnsi="仿宋" w:eastAsia="仿宋"/>
          <w:sz w:val="32"/>
          <w:szCs w:val="32"/>
        </w:rPr>
        <w:t>职业年金</w:t>
      </w:r>
      <w:r>
        <w:rPr>
          <w:rFonts w:ascii="仿宋" w:hAnsi="仿宋" w:eastAsia="仿宋"/>
          <w:sz w:val="32"/>
          <w:szCs w:val="32"/>
        </w:rPr>
        <w:t>结转经费</w:t>
      </w:r>
      <w:r>
        <w:rPr>
          <w:rFonts w:hint="eastAsia" w:ascii="仿宋" w:hAnsi="仿宋" w:eastAsia="仿宋"/>
          <w:sz w:val="32"/>
          <w:szCs w:val="32"/>
        </w:rPr>
        <w:t>，</w:t>
      </w:r>
      <w:r>
        <w:rPr>
          <w:rFonts w:ascii="仿宋" w:hAnsi="仿宋" w:eastAsia="仿宋"/>
          <w:sz w:val="32"/>
          <w:szCs w:val="32"/>
        </w:rPr>
        <w:t>因</w:t>
      </w:r>
      <w:r>
        <w:rPr>
          <w:rFonts w:hint="eastAsia" w:ascii="仿宋" w:hAnsi="仿宋" w:eastAsia="仿宋"/>
          <w:sz w:val="32"/>
          <w:szCs w:val="32"/>
        </w:rPr>
        <w:t>2021年年末</w:t>
      </w:r>
      <w:r>
        <w:rPr>
          <w:rFonts w:ascii="仿宋" w:hAnsi="仿宋" w:eastAsia="仿宋"/>
          <w:sz w:val="32"/>
          <w:szCs w:val="32"/>
        </w:rPr>
        <w:t>下达</w:t>
      </w:r>
      <w:r>
        <w:rPr>
          <w:rFonts w:hint="eastAsia" w:ascii="仿宋" w:hAnsi="仿宋" w:eastAsia="仿宋"/>
          <w:sz w:val="32"/>
          <w:szCs w:val="32"/>
        </w:rPr>
        <w:t>年金</w:t>
      </w:r>
      <w:r>
        <w:rPr>
          <w:rFonts w:ascii="仿宋" w:hAnsi="仿宋" w:eastAsia="仿宋"/>
          <w:sz w:val="32"/>
          <w:szCs w:val="32"/>
        </w:rPr>
        <w:t>补助经费</w:t>
      </w:r>
      <w:r>
        <w:rPr>
          <w:rFonts w:hint="eastAsia" w:ascii="仿宋" w:hAnsi="仿宋" w:eastAsia="仿宋"/>
          <w:sz w:val="32"/>
          <w:szCs w:val="32"/>
        </w:rPr>
        <w:t>时，社保</w:t>
      </w:r>
      <w:r>
        <w:rPr>
          <w:rFonts w:ascii="仿宋" w:hAnsi="仿宋" w:eastAsia="仿宋"/>
          <w:sz w:val="32"/>
          <w:szCs w:val="32"/>
        </w:rPr>
        <w:t>系统</w:t>
      </w:r>
      <w:r>
        <w:rPr>
          <w:rFonts w:hint="eastAsia" w:ascii="仿宋" w:hAnsi="仿宋" w:eastAsia="仿宋"/>
          <w:sz w:val="32"/>
          <w:szCs w:val="32"/>
        </w:rPr>
        <w:t>不能生成缴费</w:t>
      </w:r>
      <w:r>
        <w:rPr>
          <w:rFonts w:ascii="仿宋" w:hAnsi="仿宋" w:eastAsia="仿宋"/>
          <w:sz w:val="32"/>
          <w:szCs w:val="32"/>
        </w:rPr>
        <w:t>单</w:t>
      </w:r>
      <w:r>
        <w:rPr>
          <w:rFonts w:hint="eastAsia" w:ascii="仿宋" w:hAnsi="仿宋" w:eastAsia="仿宋"/>
          <w:sz w:val="32"/>
          <w:szCs w:val="32"/>
        </w:rPr>
        <w:t>，</w:t>
      </w:r>
      <w:r>
        <w:rPr>
          <w:rFonts w:ascii="仿宋" w:hAnsi="仿宋" w:eastAsia="仿宋"/>
          <w:sz w:val="32"/>
          <w:szCs w:val="32"/>
        </w:rPr>
        <w:t>造成部分市县队未能</w:t>
      </w:r>
      <w:r>
        <w:rPr>
          <w:rFonts w:hint="eastAsia" w:ascii="仿宋" w:hAnsi="仿宋" w:eastAsia="仿宋"/>
          <w:sz w:val="32"/>
          <w:szCs w:val="32"/>
        </w:rPr>
        <w:t>及时缴费，</w:t>
      </w:r>
      <w:r>
        <w:rPr>
          <w:rFonts w:ascii="仿宋" w:hAnsi="仿宋" w:eastAsia="仿宋"/>
          <w:sz w:val="32"/>
          <w:szCs w:val="32"/>
        </w:rPr>
        <w:t>从而</w:t>
      </w:r>
      <w:r>
        <w:rPr>
          <w:rFonts w:hint="eastAsia" w:ascii="仿宋" w:hAnsi="仿宋" w:eastAsia="仿宋"/>
          <w:sz w:val="32"/>
          <w:szCs w:val="32"/>
        </w:rPr>
        <w:t>造成</w:t>
      </w:r>
      <w:r>
        <w:rPr>
          <w:rFonts w:ascii="仿宋" w:hAnsi="仿宋" w:eastAsia="仿宋"/>
          <w:sz w:val="32"/>
          <w:szCs w:val="32"/>
        </w:rPr>
        <w:t>结转</w:t>
      </w:r>
      <w:r>
        <w:rPr>
          <w:rFonts w:hint="eastAsia" w:ascii="仿宋" w:hAnsi="仿宋" w:eastAsia="仿宋"/>
          <w:sz w:val="32"/>
          <w:szCs w:val="32"/>
        </w:rPr>
        <w:t>。</w:t>
      </w:r>
    </w:p>
    <w:p>
      <w:pPr>
        <w:spacing w:line="60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（三）卫生健康支出（类）行政事业单位医疗（款）</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行政单位医疗（项）。年初预算数为</w:t>
      </w:r>
      <w:r>
        <w:rPr>
          <w:rFonts w:ascii="仿宋" w:hAnsi="仿宋" w:eastAsia="仿宋"/>
          <w:sz w:val="32"/>
          <w:szCs w:val="32"/>
        </w:rPr>
        <w:t>390.04</w:t>
      </w:r>
      <w:r>
        <w:rPr>
          <w:rFonts w:hint="eastAsia" w:ascii="仿宋" w:hAnsi="仿宋" w:eastAsia="仿宋"/>
          <w:sz w:val="32"/>
          <w:szCs w:val="32"/>
        </w:rPr>
        <w:t>万元，支出决算数为</w:t>
      </w:r>
      <w:r>
        <w:rPr>
          <w:rFonts w:ascii="仿宋" w:hAnsi="仿宋" w:eastAsia="仿宋"/>
          <w:sz w:val="32"/>
          <w:szCs w:val="32"/>
        </w:rPr>
        <w:t>390.04</w:t>
      </w:r>
      <w:r>
        <w:rPr>
          <w:rFonts w:hint="eastAsia" w:ascii="仿宋" w:hAnsi="仿宋" w:eastAsia="仿宋"/>
          <w:sz w:val="32"/>
          <w:szCs w:val="32"/>
        </w:rPr>
        <w:t>万元，完成年初预算的</w:t>
      </w:r>
      <w:r>
        <w:rPr>
          <w:rFonts w:ascii="仿宋" w:hAnsi="仿宋" w:eastAsia="仿宋"/>
          <w:sz w:val="32"/>
          <w:szCs w:val="32"/>
        </w:rPr>
        <w:t>100</w:t>
      </w:r>
      <w:r>
        <w:rPr>
          <w:rFonts w:hint="eastAsia" w:ascii="仿宋" w:hAnsi="仿宋" w:eastAsia="仿宋"/>
          <w:sz w:val="32"/>
          <w:szCs w:val="32"/>
        </w:rPr>
        <w:t>%。</w:t>
      </w:r>
    </w:p>
    <w:p>
      <w:pPr>
        <w:spacing w:line="60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（四）住房保障支出（类）住房改革支出（款）</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1.住房公积金（项）。年初预算数为</w:t>
      </w:r>
      <w:r>
        <w:rPr>
          <w:rFonts w:ascii="仿宋" w:hAnsi="仿宋" w:eastAsia="仿宋"/>
          <w:sz w:val="32"/>
          <w:szCs w:val="32"/>
        </w:rPr>
        <w:t>713.9</w:t>
      </w:r>
      <w:r>
        <w:rPr>
          <w:rFonts w:hint="eastAsia" w:ascii="仿宋" w:hAnsi="仿宋" w:eastAsia="仿宋"/>
          <w:sz w:val="32"/>
          <w:szCs w:val="32"/>
        </w:rPr>
        <w:t>万元，支出决算数为</w:t>
      </w:r>
      <w:r>
        <w:rPr>
          <w:rFonts w:ascii="仿宋" w:hAnsi="仿宋" w:eastAsia="仿宋"/>
          <w:sz w:val="32"/>
          <w:szCs w:val="32"/>
        </w:rPr>
        <w:t>713.9</w:t>
      </w:r>
      <w:r>
        <w:rPr>
          <w:rFonts w:hint="eastAsia" w:ascii="仿宋" w:hAnsi="仿宋" w:eastAsia="仿宋"/>
          <w:sz w:val="32"/>
          <w:szCs w:val="32"/>
        </w:rPr>
        <w:t>万元，完成年初预算的100%。</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2.购房补贴（项）。年初预算数为</w:t>
      </w:r>
      <w:r>
        <w:rPr>
          <w:rFonts w:ascii="仿宋" w:hAnsi="仿宋" w:eastAsia="仿宋"/>
          <w:sz w:val="32"/>
          <w:szCs w:val="32"/>
        </w:rPr>
        <w:t>170.66</w:t>
      </w:r>
      <w:r>
        <w:rPr>
          <w:rFonts w:hint="eastAsia" w:ascii="仿宋" w:hAnsi="仿宋" w:eastAsia="仿宋"/>
          <w:sz w:val="32"/>
          <w:szCs w:val="32"/>
        </w:rPr>
        <w:t>万元，支出决算数为</w:t>
      </w:r>
      <w:r>
        <w:rPr>
          <w:rFonts w:ascii="仿宋" w:hAnsi="仿宋" w:eastAsia="仿宋"/>
          <w:sz w:val="32"/>
          <w:szCs w:val="32"/>
        </w:rPr>
        <w:t>103.48</w:t>
      </w:r>
      <w:r>
        <w:rPr>
          <w:rFonts w:hint="eastAsia" w:ascii="仿宋" w:hAnsi="仿宋" w:eastAsia="仿宋"/>
          <w:sz w:val="32"/>
          <w:szCs w:val="32"/>
        </w:rPr>
        <w:t>万元，完成年初预算的</w:t>
      </w:r>
      <w:r>
        <w:rPr>
          <w:rFonts w:ascii="仿宋" w:hAnsi="仿宋" w:eastAsia="仿宋"/>
          <w:sz w:val="32"/>
          <w:szCs w:val="32"/>
        </w:rPr>
        <w:t>60.64</w:t>
      </w:r>
      <w:r>
        <w:rPr>
          <w:rFonts w:hint="eastAsia" w:ascii="仿宋" w:hAnsi="仿宋" w:eastAsia="仿宋"/>
          <w:sz w:val="32"/>
          <w:szCs w:val="32"/>
        </w:rPr>
        <w:t>%。</w:t>
      </w:r>
    </w:p>
    <w:p>
      <w:pPr>
        <w:spacing w:line="159" w:lineRule="exact"/>
        <w:rPr>
          <w:sz w:val="20"/>
          <w:szCs w:val="20"/>
        </w:rPr>
      </w:pPr>
    </w:p>
    <w:p>
      <w:pPr>
        <w:spacing w:line="360" w:lineRule="auto"/>
        <w:ind w:firstLine="640" w:firstLineChars="200"/>
        <w:rPr>
          <w:sz w:val="20"/>
          <w:szCs w:val="20"/>
        </w:rPr>
      </w:pPr>
      <w:r>
        <w:rPr>
          <w:rFonts w:ascii="黑体" w:hAnsi="黑体" w:eastAsia="黑体" w:cs="黑体"/>
          <w:sz w:val="32"/>
          <w:szCs w:val="32"/>
        </w:rPr>
        <w:t>三、一般公共预算财政拨款基本支出情况说明</w:t>
      </w:r>
    </w:p>
    <w:p>
      <w:pPr>
        <w:pStyle w:val="7"/>
        <w:spacing w:line="600" w:lineRule="exact"/>
        <w:ind w:firstLine="640" w:firstLineChars="200"/>
        <w:rPr>
          <w:rFonts w:ascii="仿宋" w:hAnsi="仿宋" w:eastAsia="仿宋"/>
          <w:sz w:val="32"/>
          <w:szCs w:val="32"/>
        </w:rPr>
      </w:pPr>
      <w:r>
        <w:rPr>
          <w:rFonts w:ascii="仿宋" w:hAnsi="仿宋" w:eastAsia="仿宋"/>
          <w:sz w:val="32"/>
          <w:szCs w:val="32"/>
        </w:rPr>
        <w:t>国家统计局</w:t>
      </w:r>
      <w:r>
        <w:rPr>
          <w:rFonts w:hint="eastAsia" w:ascii="仿宋" w:hAnsi="仿宋" w:eastAsia="仿宋"/>
          <w:sz w:val="32"/>
          <w:szCs w:val="32"/>
        </w:rPr>
        <w:t>山西调查总队</w:t>
      </w:r>
      <w:r>
        <w:rPr>
          <w:rFonts w:ascii="仿宋" w:hAnsi="仿宋" w:eastAsia="仿宋"/>
          <w:sz w:val="32"/>
          <w:szCs w:val="32"/>
        </w:rPr>
        <w:t>2022 年度一般公共预算财政拨款基本支出10106.69万元，其中：人员经费7822.56万元，主要包括基本工资、津贴补贴、奖金、机关事业单位基本养老保险缴费、职业年金缴费、职工基本医疗保险缴费、公务员医疗补助缴费、其他社会保障缴费、住房公积金、医疗费、其他工资福利支出、退休费、抚恤金、生活补助、医疗费补助、奖励金、其他对个人和家庭的补助；公用经费2284.13万元，主要包括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信息网络及软件购置更新、公务用车购置。</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四、一般公共预算财政拨款“三公”经费支出情况说明</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国家统计局山西调查总队202</w:t>
      </w:r>
      <w:r>
        <w:rPr>
          <w:rFonts w:ascii="仿宋" w:hAnsi="仿宋" w:eastAsia="仿宋"/>
          <w:sz w:val="32"/>
          <w:szCs w:val="32"/>
        </w:rPr>
        <w:t>2</w:t>
      </w:r>
      <w:r>
        <w:rPr>
          <w:rFonts w:hint="eastAsia" w:ascii="仿宋" w:hAnsi="仿宋" w:eastAsia="仿宋"/>
          <w:sz w:val="32"/>
          <w:szCs w:val="32"/>
        </w:rPr>
        <w:t>年度统计部门“三公”经费财政拨款预算数为</w:t>
      </w:r>
      <w:r>
        <w:rPr>
          <w:rFonts w:ascii="仿宋" w:hAnsi="仿宋" w:eastAsia="仿宋"/>
          <w:sz w:val="32"/>
          <w:szCs w:val="32"/>
        </w:rPr>
        <w:t>218.26</w:t>
      </w:r>
      <w:r>
        <w:rPr>
          <w:rFonts w:hint="eastAsia" w:ascii="仿宋" w:hAnsi="仿宋" w:eastAsia="仿宋"/>
          <w:sz w:val="32"/>
          <w:szCs w:val="32"/>
        </w:rPr>
        <w:t>万元，决算数为</w:t>
      </w:r>
      <w:r>
        <w:rPr>
          <w:rFonts w:ascii="仿宋" w:hAnsi="仿宋" w:eastAsia="仿宋"/>
          <w:sz w:val="32"/>
          <w:szCs w:val="32"/>
        </w:rPr>
        <w:t>185.67</w:t>
      </w:r>
      <w:r>
        <w:rPr>
          <w:rFonts w:hint="eastAsia" w:ascii="仿宋" w:hAnsi="仿宋" w:eastAsia="仿宋"/>
          <w:sz w:val="32"/>
          <w:szCs w:val="32"/>
        </w:rPr>
        <w:t>万元，完成预算的</w:t>
      </w:r>
      <w:r>
        <w:rPr>
          <w:rFonts w:ascii="仿宋" w:hAnsi="仿宋" w:eastAsia="仿宋"/>
          <w:sz w:val="32"/>
          <w:szCs w:val="32"/>
        </w:rPr>
        <w:t>85.07</w:t>
      </w:r>
      <w:r>
        <w:rPr>
          <w:rFonts w:hint="eastAsia" w:ascii="仿宋" w:hAnsi="仿宋" w:eastAsia="仿宋"/>
          <w:sz w:val="32"/>
          <w:szCs w:val="32"/>
        </w:rPr>
        <w:t>%。决算数小于预算数的主要原因：一是认真贯彻落实“过紧日子”和厉行节约各项政策要求，从严控制“三公”经费开支；二是受疫情影响，公务用车使用减少；三是从2</w:t>
      </w:r>
      <w:r>
        <w:rPr>
          <w:rFonts w:ascii="仿宋" w:hAnsi="仿宋" w:eastAsia="仿宋"/>
          <w:sz w:val="32"/>
          <w:szCs w:val="32"/>
        </w:rPr>
        <w:t>022年</w:t>
      </w:r>
      <w:r>
        <w:rPr>
          <w:rFonts w:hint="eastAsia" w:ascii="仿宋" w:hAnsi="仿宋" w:eastAsia="仿宋"/>
          <w:sz w:val="32"/>
          <w:szCs w:val="32"/>
        </w:rPr>
        <w:t>9月起，按照国家统计局相关规定，取消了系统内公务接待。</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（一）因公出国（境）费预算数为 0 万元，决算数为 0 万元。主要原因是受疫情影响，没有安排出国任务。</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（二）公务用车购置及运行维护费预算数为</w:t>
      </w:r>
      <w:r>
        <w:rPr>
          <w:rFonts w:ascii="仿宋" w:hAnsi="仿宋" w:eastAsia="仿宋"/>
          <w:sz w:val="32"/>
          <w:szCs w:val="32"/>
        </w:rPr>
        <w:t>204.2</w:t>
      </w:r>
      <w:r>
        <w:rPr>
          <w:rFonts w:hint="eastAsia" w:ascii="仿宋" w:hAnsi="仿宋" w:eastAsia="仿宋"/>
          <w:sz w:val="32"/>
          <w:szCs w:val="32"/>
        </w:rPr>
        <w:t>万元，决算数为</w:t>
      </w:r>
      <w:r>
        <w:rPr>
          <w:rFonts w:ascii="仿宋" w:hAnsi="仿宋" w:eastAsia="仿宋"/>
          <w:sz w:val="32"/>
          <w:szCs w:val="32"/>
        </w:rPr>
        <w:t>182.26</w:t>
      </w:r>
      <w:r>
        <w:rPr>
          <w:rFonts w:hint="eastAsia" w:ascii="仿宋" w:hAnsi="仿宋" w:eastAsia="仿宋"/>
          <w:sz w:val="32"/>
          <w:szCs w:val="32"/>
        </w:rPr>
        <w:t>万元，完成预算的</w:t>
      </w:r>
      <w:r>
        <w:rPr>
          <w:rFonts w:ascii="仿宋" w:hAnsi="仿宋" w:eastAsia="仿宋"/>
          <w:sz w:val="32"/>
          <w:szCs w:val="32"/>
        </w:rPr>
        <w:t>89.26</w:t>
      </w:r>
      <w:r>
        <w:rPr>
          <w:rFonts w:hint="eastAsia" w:ascii="仿宋" w:hAnsi="仿宋" w:eastAsia="仿宋"/>
          <w:sz w:val="32"/>
          <w:szCs w:val="32"/>
        </w:rPr>
        <w:t>%，决算数小于预算数的主要原因：一是本年受疫情影响，公务用车使用减少，二是贯彻落实“过紧日子”思想，非必要支出有所减少。</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公务用车购置支出</w:t>
      </w:r>
      <w:r>
        <w:rPr>
          <w:rFonts w:ascii="仿宋" w:hAnsi="仿宋" w:eastAsia="仿宋"/>
          <w:sz w:val="32"/>
          <w:szCs w:val="32"/>
        </w:rPr>
        <w:t>92.96</w:t>
      </w:r>
      <w:r>
        <w:rPr>
          <w:rFonts w:hint="eastAsia" w:ascii="仿宋" w:hAnsi="仿宋" w:eastAsia="仿宋"/>
          <w:sz w:val="32"/>
          <w:szCs w:val="32"/>
        </w:rPr>
        <w:t>万元，为202</w:t>
      </w:r>
      <w:r>
        <w:rPr>
          <w:rFonts w:ascii="仿宋" w:hAnsi="仿宋" w:eastAsia="仿宋"/>
          <w:sz w:val="32"/>
          <w:szCs w:val="32"/>
        </w:rPr>
        <w:t>2</w:t>
      </w:r>
      <w:r>
        <w:rPr>
          <w:rFonts w:hint="eastAsia" w:ascii="仿宋" w:hAnsi="仿宋" w:eastAsia="仿宋"/>
          <w:sz w:val="32"/>
          <w:szCs w:val="32"/>
        </w:rPr>
        <w:t>年度根据公务用车状况报废后更新的公务车辆，购置数共计</w:t>
      </w:r>
      <w:r>
        <w:rPr>
          <w:rFonts w:ascii="仿宋" w:hAnsi="仿宋" w:eastAsia="仿宋"/>
          <w:sz w:val="32"/>
          <w:szCs w:val="32"/>
        </w:rPr>
        <w:t>7</w:t>
      </w:r>
      <w:r>
        <w:rPr>
          <w:rFonts w:hint="eastAsia" w:ascii="仿宋" w:hAnsi="仿宋" w:eastAsia="仿宋"/>
          <w:sz w:val="32"/>
          <w:szCs w:val="32"/>
        </w:rPr>
        <w:t>辆。列入一般公共预算财政拨款开支的公务用车保有量为</w:t>
      </w:r>
      <w:r>
        <w:rPr>
          <w:rFonts w:ascii="仿宋" w:hAnsi="仿宋" w:eastAsia="仿宋"/>
          <w:sz w:val="32"/>
          <w:szCs w:val="32"/>
        </w:rPr>
        <w:t>65</w:t>
      </w:r>
      <w:r>
        <w:rPr>
          <w:rFonts w:hint="eastAsia" w:ascii="仿宋" w:hAnsi="仿宋" w:eastAsia="仿宋"/>
          <w:sz w:val="32"/>
          <w:szCs w:val="32"/>
        </w:rPr>
        <w:t>辆，公务用车运行费支出</w:t>
      </w:r>
      <w:r>
        <w:rPr>
          <w:rFonts w:ascii="仿宋" w:hAnsi="仿宋" w:eastAsia="仿宋"/>
          <w:sz w:val="32"/>
          <w:szCs w:val="32"/>
        </w:rPr>
        <w:t>89.3</w:t>
      </w:r>
      <w:r>
        <w:rPr>
          <w:rFonts w:hint="eastAsia" w:ascii="仿宋" w:hAnsi="仿宋" w:eastAsia="仿宋"/>
          <w:sz w:val="32"/>
          <w:szCs w:val="32"/>
        </w:rPr>
        <w:t>万元，主要是按规定保留的公务用车燃料费、维修费、过路过桥费、保险费等支出。</w:t>
      </w:r>
    </w:p>
    <w:p>
      <w:pPr>
        <w:pStyle w:val="7"/>
        <w:spacing w:line="600" w:lineRule="exact"/>
        <w:ind w:firstLine="640" w:firstLineChars="200"/>
        <w:rPr>
          <w:rFonts w:ascii="仿宋" w:hAnsi="仿宋" w:eastAsia="仿宋"/>
          <w:sz w:val="32"/>
          <w:szCs w:val="32"/>
        </w:rPr>
      </w:pPr>
      <w:r>
        <w:rPr>
          <w:rFonts w:hint="eastAsia" w:ascii="仿宋" w:hAnsi="仿宋" w:eastAsia="仿宋"/>
          <w:sz w:val="32"/>
          <w:szCs w:val="32"/>
        </w:rPr>
        <w:t>（三）公务接待费预算数为</w:t>
      </w:r>
      <w:r>
        <w:rPr>
          <w:rFonts w:ascii="仿宋" w:hAnsi="仿宋" w:eastAsia="仿宋"/>
          <w:sz w:val="32"/>
          <w:szCs w:val="32"/>
        </w:rPr>
        <w:t>14.06</w:t>
      </w:r>
      <w:r>
        <w:rPr>
          <w:rFonts w:hint="eastAsia" w:ascii="仿宋" w:hAnsi="仿宋" w:eastAsia="仿宋"/>
          <w:sz w:val="32"/>
          <w:szCs w:val="32"/>
        </w:rPr>
        <w:t>万元，决算数为</w:t>
      </w:r>
      <w:r>
        <w:rPr>
          <w:rFonts w:ascii="仿宋" w:hAnsi="仿宋" w:eastAsia="仿宋"/>
          <w:sz w:val="32"/>
          <w:szCs w:val="32"/>
        </w:rPr>
        <w:t>3.41</w:t>
      </w:r>
      <w:r>
        <w:rPr>
          <w:rFonts w:hint="eastAsia" w:ascii="仿宋" w:hAnsi="仿宋" w:eastAsia="仿宋"/>
          <w:sz w:val="32"/>
          <w:szCs w:val="32"/>
        </w:rPr>
        <w:t>万元，完成预算的</w:t>
      </w:r>
      <w:r>
        <w:rPr>
          <w:rFonts w:ascii="仿宋" w:hAnsi="仿宋" w:eastAsia="仿宋"/>
          <w:sz w:val="32"/>
          <w:szCs w:val="32"/>
        </w:rPr>
        <w:t>24.25</w:t>
      </w:r>
      <w:r>
        <w:rPr>
          <w:rFonts w:hint="eastAsia" w:ascii="仿宋" w:hAnsi="仿宋" w:eastAsia="仿宋"/>
          <w:sz w:val="32"/>
          <w:szCs w:val="32"/>
        </w:rPr>
        <w:t>%。主要原因一是严格执行八项规定，严控公务接待，二是受疫情影响，接待任务减少，从2</w:t>
      </w:r>
      <w:r>
        <w:rPr>
          <w:rFonts w:ascii="仿宋" w:hAnsi="仿宋" w:eastAsia="仿宋"/>
          <w:sz w:val="32"/>
          <w:szCs w:val="32"/>
        </w:rPr>
        <w:t>022年</w:t>
      </w:r>
      <w:r>
        <w:rPr>
          <w:rFonts w:hint="eastAsia" w:ascii="仿宋" w:hAnsi="仿宋" w:eastAsia="仿宋"/>
          <w:sz w:val="32"/>
          <w:szCs w:val="32"/>
        </w:rPr>
        <w:t>9月起，按照国家统计局相关规定，取消了系统内公务接待。</w:t>
      </w:r>
    </w:p>
    <w:p>
      <w:pPr>
        <w:spacing w:line="366" w:lineRule="exact"/>
        <w:ind w:firstLine="640" w:firstLineChars="200"/>
        <w:rPr>
          <w:sz w:val="20"/>
          <w:szCs w:val="20"/>
        </w:rPr>
      </w:pPr>
      <w:r>
        <w:rPr>
          <w:rFonts w:hint="eastAsia" w:ascii="黑体" w:hAnsi="黑体" w:eastAsia="黑体" w:cs="黑体"/>
          <w:sz w:val="32"/>
          <w:szCs w:val="32"/>
        </w:rPr>
        <w:t>五</w:t>
      </w:r>
      <w:r>
        <w:rPr>
          <w:rFonts w:ascii="黑体" w:hAnsi="黑体" w:eastAsia="黑体" w:cs="黑体"/>
          <w:sz w:val="32"/>
          <w:szCs w:val="32"/>
        </w:rPr>
        <w:t>、机关运行经费支出说明</w:t>
      </w:r>
    </w:p>
    <w:p>
      <w:pPr>
        <w:spacing w:line="366" w:lineRule="exact"/>
        <w:rPr>
          <w:sz w:val="20"/>
          <w:szCs w:val="20"/>
        </w:rPr>
      </w:pPr>
    </w:p>
    <w:p>
      <w:pPr>
        <w:pStyle w:val="7"/>
        <w:spacing w:line="360" w:lineRule="auto"/>
        <w:ind w:firstLine="640" w:firstLineChars="200"/>
        <w:rPr>
          <w:rFonts w:ascii="仿宋" w:hAnsi="仿宋" w:eastAsia="仿宋"/>
          <w:sz w:val="32"/>
          <w:szCs w:val="32"/>
        </w:rPr>
      </w:pPr>
      <w:r>
        <w:rPr>
          <w:rFonts w:ascii="仿宋" w:hAnsi="仿宋" w:eastAsia="仿宋"/>
          <w:sz w:val="32"/>
          <w:szCs w:val="32"/>
        </w:rPr>
        <w:t>国家统计局</w:t>
      </w:r>
      <w:r>
        <w:rPr>
          <w:rFonts w:hint="eastAsia" w:ascii="仿宋" w:hAnsi="仿宋" w:eastAsia="仿宋"/>
          <w:sz w:val="32"/>
          <w:szCs w:val="32"/>
        </w:rPr>
        <w:t>山西</w:t>
      </w:r>
      <w:r>
        <w:rPr>
          <w:rFonts w:ascii="仿宋" w:hAnsi="仿宋" w:eastAsia="仿宋"/>
          <w:sz w:val="32"/>
          <w:szCs w:val="32"/>
        </w:rPr>
        <w:t>调查总队</w:t>
      </w:r>
      <w:r>
        <w:rPr>
          <w:rFonts w:hint="eastAsia" w:ascii="仿宋" w:hAnsi="仿宋" w:eastAsia="仿宋"/>
          <w:sz w:val="32"/>
          <w:szCs w:val="32"/>
        </w:rPr>
        <w:t>2</w:t>
      </w:r>
      <w:r>
        <w:rPr>
          <w:rFonts w:ascii="仿宋" w:hAnsi="仿宋" w:eastAsia="仿宋"/>
          <w:sz w:val="32"/>
          <w:szCs w:val="32"/>
        </w:rPr>
        <w:t>02</w:t>
      </w:r>
      <w:r>
        <w:rPr>
          <w:rFonts w:ascii="仿宋" w:hAnsi="仿宋" w:eastAsia="仿宋"/>
          <w:sz w:val="32"/>
          <w:szCs w:val="32"/>
          <w:lang w:val="en"/>
        </w:rPr>
        <w:t>2</w:t>
      </w:r>
      <w:r>
        <w:rPr>
          <w:rFonts w:ascii="仿宋" w:hAnsi="仿宋" w:eastAsia="仿宋"/>
          <w:sz w:val="32"/>
          <w:szCs w:val="32"/>
        </w:rPr>
        <w:t>年度行政机关运行经费支出2284.13万元，比</w:t>
      </w:r>
      <w:r>
        <w:rPr>
          <w:rFonts w:ascii="仿宋" w:hAnsi="仿宋" w:eastAsia="仿宋"/>
          <w:sz w:val="32"/>
          <w:szCs w:val="32"/>
          <w:lang w:val="en"/>
        </w:rPr>
        <w:t>2021</w:t>
      </w:r>
      <w:r>
        <w:rPr>
          <w:rFonts w:ascii="仿宋" w:hAnsi="仿宋" w:eastAsia="仿宋"/>
          <w:sz w:val="32"/>
          <w:szCs w:val="32"/>
        </w:rPr>
        <w:t>年</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363.51</w:t>
      </w:r>
      <w:r>
        <w:rPr>
          <w:rFonts w:ascii="仿宋" w:hAnsi="仿宋" w:eastAsia="仿宋"/>
          <w:sz w:val="32"/>
          <w:szCs w:val="32"/>
        </w:rPr>
        <w:t>万元</w:t>
      </w:r>
      <w:r>
        <w:rPr>
          <w:rFonts w:ascii="仿宋" w:hAnsi="仿宋" w:eastAsia="仿宋"/>
          <w:sz w:val="32"/>
          <w:szCs w:val="32"/>
          <w:lang w:val="en"/>
        </w:rPr>
        <w:t>,</w:t>
      </w:r>
      <w:r>
        <w:rPr>
          <w:rFonts w:hint="eastAsia" w:ascii="仿宋" w:hAnsi="仿宋" w:eastAsia="仿宋"/>
          <w:sz w:val="32"/>
          <w:szCs w:val="32"/>
        </w:rPr>
        <w:t>减少</w:t>
      </w:r>
      <w:r>
        <w:rPr>
          <w:rFonts w:ascii="仿宋" w:hAnsi="仿宋" w:eastAsia="仿宋"/>
          <w:sz w:val="32"/>
          <w:szCs w:val="32"/>
          <w:lang w:val="en"/>
        </w:rPr>
        <w:t>79.38</w:t>
      </w:r>
      <w:r>
        <w:rPr>
          <w:rFonts w:ascii="仿宋" w:hAnsi="仿宋" w:eastAsia="仿宋"/>
          <w:sz w:val="32"/>
          <w:szCs w:val="32"/>
        </w:rPr>
        <w:t>万元，</w:t>
      </w:r>
      <w:r>
        <w:rPr>
          <w:rFonts w:hint="eastAsia" w:ascii="仿宋" w:hAnsi="仿宋" w:eastAsia="仿宋"/>
          <w:sz w:val="32"/>
          <w:szCs w:val="32"/>
        </w:rPr>
        <w:t>降幅</w:t>
      </w:r>
      <w:r>
        <w:rPr>
          <w:rFonts w:ascii="仿宋" w:hAnsi="仿宋" w:eastAsia="仿宋"/>
          <w:sz w:val="32"/>
          <w:szCs w:val="32"/>
          <w:lang w:val="en"/>
        </w:rPr>
        <w:t>3.36</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主要原因是2</w:t>
      </w:r>
      <w:r>
        <w:rPr>
          <w:rFonts w:ascii="仿宋" w:hAnsi="仿宋" w:eastAsia="仿宋"/>
          <w:sz w:val="32"/>
          <w:szCs w:val="32"/>
        </w:rPr>
        <w:t>022</w:t>
      </w:r>
      <w:r>
        <w:rPr>
          <w:rFonts w:hint="eastAsia" w:ascii="仿宋" w:hAnsi="仿宋" w:eastAsia="仿宋"/>
          <w:sz w:val="32"/>
          <w:szCs w:val="32"/>
        </w:rPr>
        <w:t>年</w:t>
      </w:r>
      <w:r>
        <w:rPr>
          <w:rFonts w:ascii="仿宋" w:hAnsi="仿宋" w:eastAsia="仿宋"/>
          <w:sz w:val="32"/>
          <w:szCs w:val="32"/>
        </w:rPr>
        <w:t>受疫情影响，多项工作不能正常开展</w:t>
      </w:r>
      <w:r>
        <w:rPr>
          <w:rFonts w:hint="eastAsia" w:ascii="仿宋" w:hAnsi="仿宋" w:eastAsia="仿宋"/>
          <w:sz w:val="32"/>
          <w:szCs w:val="32"/>
        </w:rPr>
        <w:t>。</w:t>
      </w:r>
    </w:p>
    <w:p>
      <w:pPr>
        <w:spacing w:line="366" w:lineRule="exact"/>
        <w:ind w:firstLine="640" w:firstLineChars="200"/>
        <w:rPr>
          <w:sz w:val="20"/>
          <w:szCs w:val="20"/>
        </w:rPr>
      </w:pPr>
      <w:r>
        <w:rPr>
          <w:rFonts w:hint="eastAsia" w:ascii="黑体" w:hAnsi="黑体" w:eastAsia="黑体" w:cs="黑体"/>
          <w:sz w:val="32"/>
          <w:szCs w:val="32"/>
        </w:rPr>
        <w:t>六</w:t>
      </w:r>
      <w:r>
        <w:rPr>
          <w:rFonts w:ascii="黑体" w:hAnsi="黑体" w:eastAsia="黑体" w:cs="黑体"/>
          <w:sz w:val="32"/>
          <w:szCs w:val="32"/>
        </w:rPr>
        <w:t>、政府采购支出说明</w:t>
      </w:r>
    </w:p>
    <w:p>
      <w:pPr>
        <w:spacing w:line="249" w:lineRule="exact"/>
        <w:rPr>
          <w:sz w:val="20"/>
          <w:szCs w:val="20"/>
        </w:rPr>
      </w:pPr>
    </w:p>
    <w:p>
      <w:pPr>
        <w:pStyle w:val="7"/>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年度</w:t>
      </w:r>
      <w:r>
        <w:rPr>
          <w:rFonts w:ascii="仿宋" w:hAnsi="仿宋" w:eastAsia="仿宋"/>
          <w:sz w:val="32"/>
          <w:szCs w:val="32"/>
        </w:rPr>
        <w:t>国家统计局</w:t>
      </w:r>
      <w:r>
        <w:rPr>
          <w:rFonts w:hint="eastAsia" w:ascii="仿宋" w:hAnsi="仿宋" w:eastAsia="仿宋"/>
          <w:sz w:val="32"/>
          <w:szCs w:val="32"/>
        </w:rPr>
        <w:t>山西调查总队政府采购支出总额为</w:t>
      </w:r>
      <w:r>
        <w:rPr>
          <w:rFonts w:ascii="仿宋" w:hAnsi="仿宋" w:eastAsia="仿宋"/>
          <w:sz w:val="32"/>
          <w:szCs w:val="32"/>
        </w:rPr>
        <w:t>1233.27</w:t>
      </w:r>
      <w:r>
        <w:rPr>
          <w:rFonts w:hint="eastAsia" w:ascii="仿宋" w:hAnsi="仿宋" w:eastAsia="仿宋"/>
          <w:sz w:val="32"/>
          <w:szCs w:val="32"/>
        </w:rPr>
        <w:t>万元，全部为政府采购货物支出。其中：授予中小企业合同金额为</w:t>
      </w:r>
      <w:r>
        <w:rPr>
          <w:rFonts w:ascii="仿宋" w:hAnsi="仿宋" w:eastAsia="仿宋"/>
          <w:sz w:val="32"/>
          <w:szCs w:val="32"/>
        </w:rPr>
        <w:t>9.7</w:t>
      </w:r>
      <w:r>
        <w:rPr>
          <w:rFonts w:hint="eastAsia" w:ascii="仿宋" w:hAnsi="仿宋" w:eastAsia="仿宋"/>
          <w:sz w:val="32"/>
          <w:szCs w:val="32"/>
        </w:rPr>
        <w:t>万元，授予小微企业合同金额为</w:t>
      </w:r>
      <w:r>
        <w:rPr>
          <w:rFonts w:ascii="仿宋" w:hAnsi="仿宋" w:eastAsia="仿宋"/>
          <w:sz w:val="32"/>
          <w:szCs w:val="32"/>
        </w:rPr>
        <w:t>1.48</w:t>
      </w:r>
      <w:r>
        <w:rPr>
          <w:rFonts w:hint="eastAsia" w:ascii="仿宋" w:hAnsi="仿宋" w:eastAsia="仿宋"/>
          <w:sz w:val="32"/>
          <w:szCs w:val="32"/>
        </w:rPr>
        <w:t>万元。</w:t>
      </w:r>
    </w:p>
    <w:p>
      <w:pPr>
        <w:spacing w:line="366" w:lineRule="exact"/>
        <w:ind w:firstLine="640" w:firstLineChars="200"/>
        <w:rPr>
          <w:sz w:val="20"/>
          <w:szCs w:val="20"/>
        </w:rPr>
      </w:pPr>
      <w:r>
        <w:rPr>
          <w:rFonts w:hint="eastAsia" w:ascii="黑体" w:hAnsi="黑体" w:eastAsia="黑体" w:cs="黑体"/>
          <w:sz w:val="32"/>
          <w:szCs w:val="32"/>
        </w:rPr>
        <w:t>七</w:t>
      </w:r>
      <w:r>
        <w:rPr>
          <w:rFonts w:ascii="黑体" w:hAnsi="黑体" w:eastAsia="黑体" w:cs="黑体"/>
          <w:sz w:val="32"/>
          <w:szCs w:val="32"/>
        </w:rPr>
        <w:t>、国有资产占用情况说明</w:t>
      </w:r>
    </w:p>
    <w:p>
      <w:pPr>
        <w:spacing w:line="249" w:lineRule="exact"/>
        <w:rPr>
          <w:sz w:val="20"/>
          <w:szCs w:val="20"/>
        </w:rPr>
      </w:pPr>
    </w:p>
    <w:p>
      <w:pPr>
        <w:pStyle w:val="7"/>
        <w:spacing w:line="360" w:lineRule="auto"/>
        <w:ind w:firstLine="640" w:firstLineChars="200"/>
        <w:rPr>
          <w:rFonts w:ascii="仿宋" w:hAnsi="仿宋" w:eastAsia="仿宋"/>
          <w:sz w:val="32"/>
          <w:szCs w:val="32"/>
        </w:rPr>
      </w:pPr>
      <w:r>
        <w:rPr>
          <w:rFonts w:hint="eastAsia" w:ascii="仿宋" w:hAnsi="仿宋" w:eastAsia="仿宋"/>
          <w:sz w:val="32"/>
          <w:szCs w:val="32"/>
        </w:rPr>
        <w:t>截至202</w:t>
      </w:r>
      <w:r>
        <w:rPr>
          <w:rFonts w:ascii="仿宋" w:hAnsi="仿宋" w:eastAsia="仿宋"/>
          <w:sz w:val="32"/>
          <w:szCs w:val="32"/>
        </w:rPr>
        <w:t>2</w:t>
      </w:r>
      <w:r>
        <w:rPr>
          <w:rFonts w:hint="eastAsia" w:ascii="仿宋" w:hAnsi="仿宋" w:eastAsia="仿宋"/>
          <w:sz w:val="32"/>
          <w:szCs w:val="32"/>
        </w:rPr>
        <w:t>年12月3</w:t>
      </w:r>
      <w:r>
        <w:rPr>
          <w:rFonts w:ascii="仿宋" w:hAnsi="仿宋" w:eastAsia="仿宋"/>
          <w:sz w:val="32"/>
          <w:szCs w:val="32"/>
        </w:rPr>
        <w:t>1</w:t>
      </w:r>
      <w:r>
        <w:rPr>
          <w:rFonts w:hint="eastAsia" w:ascii="仿宋" w:hAnsi="仿宋" w:eastAsia="仿宋"/>
          <w:sz w:val="32"/>
          <w:szCs w:val="32"/>
        </w:rPr>
        <w:t>日，国家统计局山西调查总队系统共有车辆</w:t>
      </w:r>
      <w:r>
        <w:rPr>
          <w:rFonts w:ascii="仿宋" w:hAnsi="仿宋" w:eastAsia="仿宋"/>
          <w:sz w:val="32"/>
          <w:szCs w:val="32"/>
        </w:rPr>
        <w:t>65</w:t>
      </w:r>
      <w:r>
        <w:rPr>
          <w:rFonts w:hint="eastAsia" w:ascii="仿宋" w:hAnsi="仿宋" w:eastAsia="仿宋"/>
          <w:sz w:val="32"/>
          <w:szCs w:val="32"/>
        </w:rPr>
        <w:t>辆，从年末车辆的构成来看，轿车</w:t>
      </w:r>
      <w:r>
        <w:rPr>
          <w:rFonts w:ascii="仿宋" w:hAnsi="仿宋" w:eastAsia="仿宋"/>
          <w:sz w:val="32"/>
          <w:szCs w:val="32"/>
        </w:rPr>
        <w:t>55</w:t>
      </w:r>
      <w:r>
        <w:rPr>
          <w:rFonts w:hint="eastAsia" w:ascii="仿宋" w:hAnsi="仿宋" w:eastAsia="仿宋"/>
          <w:sz w:val="32"/>
          <w:szCs w:val="32"/>
        </w:rPr>
        <w:t>辆，比上年增加</w:t>
      </w:r>
      <w:r>
        <w:rPr>
          <w:rFonts w:ascii="仿宋" w:hAnsi="仿宋" w:eastAsia="仿宋"/>
          <w:sz w:val="32"/>
          <w:szCs w:val="32"/>
        </w:rPr>
        <w:t>5</w:t>
      </w:r>
      <w:r>
        <w:rPr>
          <w:rFonts w:hint="eastAsia" w:ascii="仿宋" w:hAnsi="仿宋" w:eastAsia="仿宋"/>
          <w:sz w:val="32"/>
          <w:szCs w:val="32"/>
        </w:rPr>
        <w:t>辆，价值</w:t>
      </w:r>
      <w:r>
        <w:rPr>
          <w:rFonts w:ascii="仿宋" w:hAnsi="仿宋" w:eastAsia="仿宋"/>
          <w:sz w:val="32"/>
          <w:szCs w:val="32"/>
        </w:rPr>
        <w:t>834.11</w:t>
      </w:r>
      <w:r>
        <w:rPr>
          <w:rFonts w:hint="eastAsia" w:ascii="仿宋" w:hAnsi="仿宋" w:eastAsia="仿宋"/>
          <w:sz w:val="32"/>
          <w:szCs w:val="32"/>
        </w:rPr>
        <w:t>万元；越野车</w:t>
      </w:r>
      <w:r>
        <w:rPr>
          <w:rFonts w:ascii="仿宋" w:hAnsi="仿宋" w:eastAsia="仿宋"/>
          <w:sz w:val="32"/>
          <w:szCs w:val="32"/>
        </w:rPr>
        <w:t>8</w:t>
      </w:r>
      <w:r>
        <w:rPr>
          <w:rFonts w:hint="eastAsia" w:ascii="仿宋" w:hAnsi="仿宋" w:eastAsia="仿宋"/>
          <w:sz w:val="32"/>
          <w:szCs w:val="32"/>
        </w:rPr>
        <w:t>辆，比上年减少</w:t>
      </w:r>
      <w:r>
        <w:rPr>
          <w:rFonts w:ascii="仿宋" w:hAnsi="仿宋" w:eastAsia="仿宋"/>
          <w:sz w:val="32"/>
          <w:szCs w:val="32"/>
        </w:rPr>
        <w:t>5</w:t>
      </w:r>
      <w:r>
        <w:rPr>
          <w:rFonts w:hint="eastAsia" w:ascii="仿宋" w:hAnsi="仿宋" w:eastAsia="仿宋"/>
          <w:sz w:val="32"/>
          <w:szCs w:val="32"/>
        </w:rPr>
        <w:t>辆，价值</w:t>
      </w:r>
      <w:r>
        <w:rPr>
          <w:rFonts w:ascii="仿宋" w:hAnsi="仿宋" w:eastAsia="仿宋"/>
          <w:sz w:val="32"/>
          <w:szCs w:val="32"/>
        </w:rPr>
        <w:t>138.99</w:t>
      </w:r>
      <w:r>
        <w:rPr>
          <w:rFonts w:hint="eastAsia" w:ascii="仿宋" w:hAnsi="仿宋" w:eastAsia="仿宋"/>
          <w:sz w:val="32"/>
          <w:szCs w:val="32"/>
        </w:rPr>
        <w:t>万元；小型载客汽车1辆，价值26.11万元；大中型载客汽车1辆，价值43.2万元。</w:t>
      </w:r>
    </w:p>
    <w:p>
      <w:pPr>
        <w:spacing w:line="366" w:lineRule="exact"/>
        <w:ind w:firstLine="640" w:firstLineChars="200"/>
        <w:rPr>
          <w:sz w:val="20"/>
          <w:szCs w:val="20"/>
        </w:rPr>
      </w:pPr>
      <w:r>
        <w:rPr>
          <w:rFonts w:hint="eastAsia" w:ascii="黑体" w:hAnsi="黑体" w:eastAsia="黑体" w:cs="黑体"/>
          <w:sz w:val="32"/>
          <w:szCs w:val="32"/>
        </w:rPr>
        <w:t>八</w:t>
      </w:r>
      <w:r>
        <w:rPr>
          <w:rFonts w:ascii="黑体" w:hAnsi="黑体" w:eastAsia="黑体" w:cs="黑体"/>
          <w:sz w:val="32"/>
          <w:szCs w:val="32"/>
        </w:rPr>
        <w:t>、预算绩效情况说明</w:t>
      </w:r>
    </w:p>
    <w:p>
      <w:pPr>
        <w:spacing w:line="235" w:lineRule="exact"/>
        <w:rPr>
          <w:sz w:val="20"/>
          <w:szCs w:val="20"/>
        </w:rPr>
      </w:pPr>
    </w:p>
    <w:p>
      <w:pPr>
        <w:pStyle w:val="7"/>
        <w:spacing w:line="360" w:lineRule="auto"/>
        <w:ind w:firstLine="640" w:firstLineChars="200"/>
        <w:rPr>
          <w:rFonts w:ascii="仿宋" w:hAnsi="仿宋" w:eastAsia="仿宋"/>
          <w:sz w:val="32"/>
          <w:szCs w:val="32"/>
        </w:rPr>
      </w:pPr>
      <w:r>
        <w:rPr>
          <w:rFonts w:hint="eastAsia" w:ascii="仿宋" w:hAnsi="仿宋" w:eastAsia="仿宋"/>
          <w:sz w:val="32"/>
          <w:szCs w:val="32"/>
        </w:rPr>
        <w:t>根据《国家统计局财务司关于做好202</w:t>
      </w:r>
      <w:r>
        <w:rPr>
          <w:rFonts w:ascii="仿宋" w:hAnsi="仿宋" w:eastAsia="仿宋"/>
          <w:sz w:val="32"/>
          <w:szCs w:val="32"/>
        </w:rPr>
        <w:t>2</w:t>
      </w:r>
      <w:r>
        <w:rPr>
          <w:rFonts w:hint="eastAsia" w:ascii="仿宋" w:hAnsi="仿宋" w:eastAsia="仿宋"/>
          <w:sz w:val="32"/>
          <w:szCs w:val="32"/>
        </w:rPr>
        <w:t>年度统计部门项目支出绩效自评工作的通知》的要求，按照《中央部门预算绩效目标管理办法》规定，</w:t>
      </w:r>
      <w:r>
        <w:rPr>
          <w:rFonts w:ascii="仿宋" w:hAnsi="仿宋" w:eastAsia="仿宋"/>
          <w:sz w:val="32"/>
          <w:szCs w:val="32"/>
        </w:rPr>
        <w:t>国家统计局</w:t>
      </w:r>
      <w:r>
        <w:rPr>
          <w:rFonts w:hint="eastAsia" w:ascii="仿宋" w:hAnsi="仿宋" w:eastAsia="仿宋"/>
          <w:sz w:val="32"/>
          <w:szCs w:val="32"/>
        </w:rPr>
        <w:t>山西调查总队组织本系统全部48个单位对所有二级项目、非财项目开展绩效自评。全系统48家单位开展非财项目的其他调查项目绩效自评工作，相关数据与决算一致。</w:t>
      </w:r>
    </w:p>
    <w:p>
      <w:pPr>
        <w:pStyle w:val="7"/>
        <w:spacing w:line="360" w:lineRule="auto"/>
        <w:ind w:firstLine="640" w:firstLineChars="200"/>
        <w:rPr>
          <w:rFonts w:ascii="仿宋" w:hAnsi="仿宋" w:eastAsia="仿宋"/>
          <w:sz w:val="32"/>
          <w:szCs w:val="32"/>
        </w:rPr>
      </w:pPr>
      <w:r>
        <w:rPr>
          <w:rFonts w:ascii="仿宋" w:hAnsi="仿宋" w:eastAsia="仿宋"/>
          <w:sz w:val="32"/>
          <w:szCs w:val="32"/>
        </w:rPr>
        <w:t>国家统计局</w:t>
      </w:r>
      <w:r>
        <w:rPr>
          <w:rFonts w:hint="eastAsia" w:ascii="仿宋" w:hAnsi="仿宋" w:eastAsia="仿宋"/>
          <w:sz w:val="32"/>
          <w:szCs w:val="32"/>
        </w:rPr>
        <w:t>山西调查总队涉及到的二级调查项目主要：中央基建投资项目涉及总队</w:t>
      </w:r>
      <w:r>
        <w:rPr>
          <w:rFonts w:ascii="仿宋" w:hAnsi="仿宋" w:eastAsia="仿宋"/>
          <w:sz w:val="32"/>
          <w:szCs w:val="32"/>
        </w:rPr>
        <w:t>本级</w:t>
      </w:r>
      <w:r>
        <w:rPr>
          <w:rFonts w:hint="eastAsia" w:ascii="仿宋" w:hAnsi="仿宋" w:eastAsia="仿宋"/>
          <w:sz w:val="32"/>
          <w:szCs w:val="32"/>
        </w:rPr>
        <w:t>异地交流干部周转房项目和运城</w:t>
      </w:r>
      <w:r>
        <w:rPr>
          <w:rFonts w:ascii="仿宋" w:hAnsi="仿宋" w:eastAsia="仿宋"/>
          <w:sz w:val="32"/>
          <w:szCs w:val="32"/>
        </w:rPr>
        <w:t>队办公业务用房修缮维护项目</w:t>
      </w:r>
      <w:r>
        <w:rPr>
          <w:rFonts w:hint="eastAsia" w:ascii="仿宋" w:hAnsi="仿宋" w:eastAsia="仿宋"/>
          <w:sz w:val="32"/>
          <w:szCs w:val="32"/>
        </w:rPr>
        <w:t>；统计</w:t>
      </w:r>
      <w:r>
        <w:rPr>
          <w:rFonts w:ascii="仿宋" w:hAnsi="仿宋" w:eastAsia="仿宋"/>
          <w:sz w:val="32"/>
          <w:szCs w:val="32"/>
        </w:rPr>
        <w:t>管理项目涉及</w:t>
      </w:r>
      <w:r>
        <w:rPr>
          <w:rFonts w:hint="eastAsia" w:ascii="仿宋" w:hAnsi="仿宋" w:eastAsia="仿宋"/>
          <w:sz w:val="32"/>
          <w:szCs w:val="32"/>
        </w:rPr>
        <w:t>统计</w:t>
      </w:r>
      <w:r>
        <w:rPr>
          <w:rFonts w:ascii="仿宋" w:hAnsi="仿宋" w:eastAsia="仿宋"/>
          <w:sz w:val="32"/>
          <w:szCs w:val="32"/>
        </w:rPr>
        <w:t>信息网络运行维护项目</w:t>
      </w:r>
      <w:r>
        <w:rPr>
          <w:rFonts w:hint="eastAsia" w:ascii="仿宋" w:hAnsi="仿宋" w:eastAsia="仿宋"/>
          <w:sz w:val="32"/>
          <w:szCs w:val="32"/>
        </w:rPr>
        <w:t>。经常性统计调查项目涉及国际比较项目、劳动力调查项目、农牧生产大县调查项目、农民工</w:t>
      </w:r>
      <w:r>
        <w:rPr>
          <w:rFonts w:ascii="仿宋" w:hAnsi="仿宋" w:eastAsia="仿宋"/>
          <w:sz w:val="32"/>
          <w:szCs w:val="32"/>
        </w:rPr>
        <w:t>统计监测调查</w:t>
      </w:r>
      <w:r>
        <w:rPr>
          <w:rFonts w:hint="eastAsia" w:ascii="仿宋" w:hAnsi="仿宋" w:eastAsia="仿宋"/>
          <w:sz w:val="32"/>
          <w:szCs w:val="32"/>
        </w:rPr>
        <w:t>项目、城乡住户调查项目、脱贫县</w:t>
      </w:r>
      <w:r>
        <w:rPr>
          <w:rFonts w:ascii="仿宋" w:hAnsi="仿宋" w:eastAsia="仿宋"/>
          <w:sz w:val="32"/>
          <w:szCs w:val="32"/>
        </w:rPr>
        <w:t>农村住户监测调查</w:t>
      </w:r>
      <w:r>
        <w:rPr>
          <w:rFonts w:hint="eastAsia" w:ascii="仿宋" w:hAnsi="仿宋" w:eastAsia="仿宋"/>
          <w:sz w:val="32"/>
          <w:szCs w:val="32"/>
        </w:rPr>
        <w:t>项目和调查队业务费项目。</w:t>
      </w:r>
    </w:p>
    <w:p>
      <w:pPr>
        <w:pStyle w:val="7"/>
        <w:spacing w:line="360" w:lineRule="auto"/>
        <w:ind w:firstLine="640" w:firstLineChars="200"/>
        <w:rPr>
          <w:rFonts w:ascii="仿宋" w:hAnsi="仿宋" w:eastAsia="仿宋"/>
          <w:sz w:val="32"/>
          <w:szCs w:val="32"/>
        </w:rPr>
      </w:pPr>
      <w:r>
        <w:rPr>
          <w:rFonts w:hint="eastAsia" w:ascii="仿宋" w:hAnsi="仿宋" w:eastAsia="仿宋"/>
          <w:sz w:val="32"/>
          <w:szCs w:val="32"/>
        </w:rPr>
        <w:t>项目经费支出绩效自评情况。项目资金来源及支出情况：中央项目共涉及经费</w:t>
      </w:r>
      <w:r>
        <w:rPr>
          <w:rFonts w:ascii="仿宋" w:hAnsi="仿宋" w:eastAsia="仿宋"/>
          <w:sz w:val="32"/>
          <w:szCs w:val="32"/>
        </w:rPr>
        <w:t>2005.9</w:t>
      </w:r>
      <w:r>
        <w:rPr>
          <w:rFonts w:hint="eastAsia" w:ascii="仿宋" w:hAnsi="仿宋" w:eastAsia="仿宋"/>
          <w:sz w:val="32"/>
          <w:szCs w:val="32"/>
        </w:rPr>
        <w:t>万元，经费支出共计</w:t>
      </w:r>
      <w:r>
        <w:rPr>
          <w:rFonts w:ascii="仿宋" w:hAnsi="仿宋" w:eastAsia="仿宋"/>
          <w:sz w:val="32"/>
          <w:szCs w:val="32"/>
        </w:rPr>
        <w:t>1723.27</w:t>
      </w:r>
      <w:r>
        <w:rPr>
          <w:rFonts w:hint="eastAsia" w:ascii="仿宋" w:hAnsi="仿宋" w:eastAsia="仿宋"/>
          <w:sz w:val="32"/>
          <w:szCs w:val="32"/>
        </w:rPr>
        <w:t>万元，预算执行率</w:t>
      </w:r>
      <w:r>
        <w:rPr>
          <w:rFonts w:ascii="仿宋" w:hAnsi="仿宋" w:eastAsia="仿宋"/>
          <w:sz w:val="32"/>
          <w:szCs w:val="32"/>
        </w:rPr>
        <w:t>85.91</w:t>
      </w:r>
      <w:r>
        <w:rPr>
          <w:rFonts w:hint="eastAsia" w:ascii="仿宋" w:hAnsi="仿宋" w:eastAsia="仿宋"/>
          <w:sz w:val="32"/>
          <w:szCs w:val="32"/>
        </w:rPr>
        <w:t>%，具体为：中央基建投资共</w:t>
      </w:r>
      <w:r>
        <w:rPr>
          <w:rFonts w:ascii="仿宋" w:hAnsi="仿宋" w:eastAsia="仿宋"/>
          <w:sz w:val="32"/>
          <w:szCs w:val="32"/>
        </w:rPr>
        <w:t>115</w:t>
      </w:r>
      <w:r>
        <w:rPr>
          <w:rFonts w:hint="eastAsia" w:ascii="仿宋" w:hAnsi="仿宋" w:eastAsia="仿宋"/>
          <w:sz w:val="32"/>
          <w:szCs w:val="32"/>
        </w:rPr>
        <w:t>万元，涉及总队本级异地交流干部周转住房项目</w:t>
      </w:r>
      <w:r>
        <w:rPr>
          <w:rFonts w:ascii="仿宋" w:hAnsi="仿宋" w:eastAsia="仿宋"/>
          <w:sz w:val="32"/>
          <w:szCs w:val="32"/>
        </w:rPr>
        <w:t>112.96</w:t>
      </w:r>
      <w:r>
        <w:rPr>
          <w:rFonts w:hint="eastAsia" w:ascii="仿宋" w:hAnsi="仿宋" w:eastAsia="仿宋"/>
          <w:sz w:val="32"/>
          <w:szCs w:val="32"/>
        </w:rPr>
        <w:t>万元，本年使用相关资金购置周转住房一套。运城</w:t>
      </w:r>
      <w:r>
        <w:rPr>
          <w:rFonts w:ascii="仿宋" w:hAnsi="仿宋" w:eastAsia="仿宋"/>
          <w:sz w:val="32"/>
          <w:szCs w:val="32"/>
        </w:rPr>
        <w:t>队办公业务用房修缮维护项目</w:t>
      </w:r>
      <w:r>
        <w:rPr>
          <w:rFonts w:hint="eastAsia" w:ascii="仿宋" w:hAnsi="仿宋" w:eastAsia="仿宋"/>
          <w:sz w:val="32"/>
          <w:szCs w:val="32"/>
        </w:rPr>
        <w:t>20万元</w:t>
      </w:r>
      <w:r>
        <w:rPr>
          <w:rFonts w:ascii="仿宋" w:hAnsi="仿宋" w:eastAsia="仿宋"/>
          <w:sz w:val="32"/>
          <w:szCs w:val="32"/>
        </w:rPr>
        <w:t>，</w:t>
      </w:r>
      <w:r>
        <w:rPr>
          <w:rFonts w:hint="eastAsia" w:ascii="仿宋" w:hAnsi="仿宋" w:eastAsia="仿宋"/>
          <w:sz w:val="32"/>
          <w:szCs w:val="32"/>
        </w:rPr>
        <w:t>本年使用相关资金维修</w:t>
      </w:r>
      <w:r>
        <w:rPr>
          <w:rFonts w:ascii="仿宋" w:hAnsi="仿宋" w:eastAsia="仿宋"/>
          <w:sz w:val="32"/>
          <w:szCs w:val="32"/>
        </w:rPr>
        <w:t>办公</w:t>
      </w:r>
      <w:r>
        <w:rPr>
          <w:rFonts w:hint="eastAsia" w:ascii="仿宋" w:hAnsi="仿宋" w:eastAsia="仿宋"/>
          <w:sz w:val="32"/>
          <w:szCs w:val="32"/>
        </w:rPr>
        <w:t>用房。信息化</w:t>
      </w:r>
      <w:r>
        <w:rPr>
          <w:rFonts w:ascii="仿宋" w:hAnsi="仿宋" w:eastAsia="仿宋"/>
          <w:sz w:val="32"/>
          <w:szCs w:val="32"/>
        </w:rPr>
        <w:t>运行维护项目</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本年使用相关资金进行统计</w:t>
      </w:r>
      <w:r>
        <w:rPr>
          <w:rFonts w:ascii="仿宋" w:hAnsi="仿宋" w:eastAsia="仿宋"/>
          <w:sz w:val="32"/>
          <w:szCs w:val="32"/>
        </w:rPr>
        <w:t>信息网络运行维护</w:t>
      </w:r>
      <w:r>
        <w:rPr>
          <w:rFonts w:hint="eastAsia" w:ascii="仿宋" w:hAnsi="仿宋" w:eastAsia="仿宋"/>
          <w:sz w:val="32"/>
          <w:szCs w:val="32"/>
        </w:rPr>
        <w:t>。经常性统计调查项目共</w:t>
      </w:r>
      <w:r>
        <w:rPr>
          <w:rFonts w:ascii="仿宋" w:hAnsi="仿宋" w:eastAsia="仿宋"/>
          <w:sz w:val="32"/>
          <w:szCs w:val="32"/>
        </w:rPr>
        <w:t>1834.9</w:t>
      </w:r>
      <w:r>
        <w:rPr>
          <w:rFonts w:hint="eastAsia" w:ascii="仿宋" w:hAnsi="仿宋" w:eastAsia="仿宋"/>
          <w:sz w:val="32"/>
          <w:szCs w:val="32"/>
        </w:rPr>
        <w:t>万元，涉及国际比较项目</w:t>
      </w:r>
      <w:r>
        <w:rPr>
          <w:rFonts w:ascii="仿宋" w:hAnsi="仿宋" w:eastAsia="仿宋"/>
          <w:sz w:val="32"/>
          <w:szCs w:val="32"/>
        </w:rPr>
        <w:t>8</w:t>
      </w:r>
      <w:r>
        <w:rPr>
          <w:rFonts w:hint="eastAsia" w:ascii="仿宋" w:hAnsi="仿宋" w:eastAsia="仿宋"/>
          <w:sz w:val="32"/>
          <w:szCs w:val="32"/>
        </w:rPr>
        <w:t>万元，</w:t>
      </w:r>
      <w:r>
        <w:rPr>
          <w:rFonts w:ascii="仿宋" w:hAnsi="仿宋" w:eastAsia="仿宋"/>
          <w:sz w:val="32"/>
          <w:szCs w:val="32"/>
        </w:rPr>
        <w:t>完成绩效目标</w:t>
      </w:r>
      <w:r>
        <w:rPr>
          <w:rFonts w:hint="eastAsia" w:ascii="仿宋" w:hAnsi="仿宋" w:eastAsia="仿宋"/>
          <w:sz w:val="32"/>
          <w:szCs w:val="32"/>
        </w:rPr>
        <w:t>；劳动力调查</w:t>
      </w:r>
      <w:r>
        <w:rPr>
          <w:rFonts w:ascii="仿宋" w:hAnsi="仿宋" w:eastAsia="仿宋"/>
          <w:sz w:val="32"/>
          <w:szCs w:val="32"/>
        </w:rPr>
        <w:t>259</w:t>
      </w:r>
      <w:r>
        <w:rPr>
          <w:rFonts w:hint="eastAsia" w:ascii="仿宋" w:hAnsi="仿宋" w:eastAsia="仿宋"/>
          <w:sz w:val="32"/>
          <w:szCs w:val="32"/>
        </w:rPr>
        <w:t>万元，本年使用相关资金</w:t>
      </w:r>
      <w:r>
        <w:rPr>
          <w:rFonts w:ascii="仿宋" w:hAnsi="仿宋" w:eastAsia="仿宋"/>
          <w:sz w:val="32"/>
          <w:szCs w:val="32"/>
        </w:rPr>
        <w:t>183</w:t>
      </w:r>
      <w:r>
        <w:rPr>
          <w:rFonts w:hint="eastAsia" w:ascii="仿宋" w:hAnsi="仿宋" w:eastAsia="仿宋"/>
          <w:sz w:val="32"/>
          <w:szCs w:val="32"/>
        </w:rPr>
        <w:t>万元；农牧生产大县调查</w:t>
      </w:r>
      <w:r>
        <w:rPr>
          <w:rFonts w:ascii="仿宋" w:hAnsi="仿宋" w:eastAsia="仿宋"/>
          <w:sz w:val="32"/>
          <w:szCs w:val="32"/>
        </w:rPr>
        <w:t>66</w:t>
      </w:r>
      <w:r>
        <w:rPr>
          <w:rFonts w:hint="eastAsia" w:ascii="仿宋" w:hAnsi="仿宋" w:eastAsia="仿宋"/>
          <w:sz w:val="32"/>
          <w:szCs w:val="32"/>
        </w:rPr>
        <w:t>万元，本年使用相关资金</w:t>
      </w:r>
      <w:r>
        <w:rPr>
          <w:rFonts w:ascii="仿宋" w:hAnsi="仿宋" w:eastAsia="仿宋"/>
          <w:sz w:val="32"/>
          <w:szCs w:val="32"/>
        </w:rPr>
        <w:t>65.99</w:t>
      </w:r>
      <w:r>
        <w:rPr>
          <w:rFonts w:hint="eastAsia" w:ascii="仿宋" w:hAnsi="仿宋" w:eastAsia="仿宋"/>
          <w:sz w:val="32"/>
          <w:szCs w:val="32"/>
        </w:rPr>
        <w:t>万元；脱贫县农村</w:t>
      </w:r>
      <w:r>
        <w:rPr>
          <w:rFonts w:ascii="仿宋" w:hAnsi="仿宋" w:eastAsia="仿宋"/>
          <w:sz w:val="32"/>
          <w:szCs w:val="32"/>
        </w:rPr>
        <w:t>住户监测调查65.3</w:t>
      </w:r>
      <w:r>
        <w:rPr>
          <w:rFonts w:hint="eastAsia" w:ascii="仿宋" w:hAnsi="仿宋" w:eastAsia="仿宋"/>
          <w:sz w:val="32"/>
          <w:szCs w:val="32"/>
        </w:rPr>
        <w:t>万元，本年使用相关资金</w:t>
      </w:r>
      <w:r>
        <w:rPr>
          <w:rFonts w:ascii="仿宋" w:hAnsi="仿宋" w:eastAsia="仿宋"/>
          <w:sz w:val="32"/>
          <w:szCs w:val="32"/>
        </w:rPr>
        <w:t>61.85</w:t>
      </w:r>
      <w:r>
        <w:rPr>
          <w:rFonts w:hint="eastAsia" w:ascii="仿宋" w:hAnsi="仿宋" w:eastAsia="仿宋"/>
          <w:sz w:val="32"/>
          <w:szCs w:val="32"/>
        </w:rPr>
        <w:t>万元；农民工统计监测调查97.9万元</w:t>
      </w:r>
      <w:r>
        <w:rPr>
          <w:rFonts w:ascii="仿宋" w:hAnsi="仿宋" w:eastAsia="仿宋"/>
          <w:sz w:val="32"/>
          <w:szCs w:val="32"/>
        </w:rPr>
        <w:t>，</w:t>
      </w:r>
      <w:r>
        <w:rPr>
          <w:rFonts w:hint="eastAsia" w:ascii="仿宋" w:hAnsi="仿宋" w:eastAsia="仿宋"/>
          <w:sz w:val="32"/>
          <w:szCs w:val="32"/>
        </w:rPr>
        <w:t>本年使用相关资金</w:t>
      </w:r>
      <w:r>
        <w:rPr>
          <w:rFonts w:ascii="仿宋" w:hAnsi="仿宋" w:eastAsia="仿宋"/>
          <w:sz w:val="32"/>
          <w:szCs w:val="32"/>
        </w:rPr>
        <w:t>89.26</w:t>
      </w:r>
      <w:r>
        <w:rPr>
          <w:rFonts w:hint="eastAsia" w:ascii="仿宋" w:hAnsi="仿宋" w:eastAsia="仿宋"/>
          <w:sz w:val="32"/>
          <w:szCs w:val="32"/>
        </w:rPr>
        <w:t>万元；城乡住户调查</w:t>
      </w:r>
      <w:r>
        <w:rPr>
          <w:rFonts w:ascii="仿宋" w:hAnsi="仿宋" w:eastAsia="仿宋"/>
          <w:sz w:val="32"/>
          <w:szCs w:val="32"/>
        </w:rPr>
        <w:t>562.3</w:t>
      </w:r>
      <w:r>
        <w:rPr>
          <w:rFonts w:hint="eastAsia" w:ascii="仿宋" w:hAnsi="仿宋" w:eastAsia="仿宋"/>
          <w:sz w:val="32"/>
          <w:szCs w:val="32"/>
        </w:rPr>
        <w:t>万元，本年使用相关资金</w:t>
      </w:r>
      <w:r>
        <w:rPr>
          <w:rFonts w:ascii="仿宋" w:hAnsi="仿宋" w:eastAsia="仿宋"/>
          <w:sz w:val="32"/>
          <w:szCs w:val="32"/>
        </w:rPr>
        <w:t>562.27</w:t>
      </w:r>
      <w:r>
        <w:rPr>
          <w:rFonts w:hint="eastAsia" w:ascii="仿宋" w:hAnsi="仿宋" w:eastAsia="仿宋"/>
          <w:sz w:val="32"/>
          <w:szCs w:val="32"/>
        </w:rPr>
        <w:t>万元；调查队业务费</w:t>
      </w:r>
      <w:r>
        <w:rPr>
          <w:rFonts w:ascii="仿宋" w:hAnsi="仿宋" w:eastAsia="仿宋"/>
          <w:sz w:val="32"/>
          <w:szCs w:val="32"/>
        </w:rPr>
        <w:t>776.4</w:t>
      </w:r>
      <w:r>
        <w:rPr>
          <w:rFonts w:hint="eastAsia" w:ascii="仿宋" w:hAnsi="仿宋" w:eastAsia="仿宋"/>
          <w:sz w:val="32"/>
          <w:szCs w:val="32"/>
        </w:rPr>
        <w:t>万元，本年使用相关资金</w:t>
      </w:r>
      <w:r>
        <w:rPr>
          <w:rFonts w:ascii="仿宋" w:hAnsi="仿宋" w:eastAsia="仿宋"/>
          <w:sz w:val="32"/>
          <w:szCs w:val="32"/>
        </w:rPr>
        <w:t>583.94</w:t>
      </w:r>
      <w:r>
        <w:rPr>
          <w:rFonts w:hint="eastAsia" w:ascii="仿宋" w:hAnsi="仿宋" w:eastAsia="仿宋"/>
          <w:sz w:val="32"/>
          <w:szCs w:val="32"/>
        </w:rPr>
        <w:t>万元，</w:t>
      </w:r>
      <w:r>
        <w:rPr>
          <w:rFonts w:ascii="仿宋" w:hAnsi="仿宋" w:eastAsia="仿宋"/>
          <w:sz w:val="32"/>
          <w:szCs w:val="32"/>
        </w:rPr>
        <w:t>受疫情影响，</w:t>
      </w:r>
      <w:r>
        <w:rPr>
          <w:rFonts w:hint="eastAsia" w:ascii="仿宋" w:hAnsi="仿宋" w:eastAsia="仿宋"/>
          <w:sz w:val="32"/>
          <w:szCs w:val="32"/>
        </w:rPr>
        <w:t>预算执行</w:t>
      </w:r>
      <w:r>
        <w:rPr>
          <w:rFonts w:ascii="仿宋" w:hAnsi="仿宋" w:eastAsia="仿宋"/>
          <w:sz w:val="32"/>
          <w:szCs w:val="32"/>
        </w:rPr>
        <w:t>有待进一步加强。</w:t>
      </w:r>
      <w:r>
        <w:rPr>
          <w:rFonts w:hint="eastAsia" w:ascii="仿宋" w:hAnsi="仿宋" w:eastAsia="仿宋"/>
          <w:sz w:val="32"/>
          <w:szCs w:val="32"/>
        </w:rPr>
        <w:t>下一步</w:t>
      </w:r>
      <w:r>
        <w:rPr>
          <w:rFonts w:ascii="仿宋" w:hAnsi="仿宋" w:eastAsia="仿宋"/>
          <w:sz w:val="32"/>
          <w:szCs w:val="32"/>
        </w:rPr>
        <w:t>改进措施：</w:t>
      </w:r>
      <w:r>
        <w:rPr>
          <w:rFonts w:hint="eastAsia" w:ascii="仿宋" w:hAnsi="仿宋" w:eastAsia="仿宋"/>
          <w:sz w:val="32"/>
          <w:szCs w:val="32"/>
        </w:rPr>
        <w:t>一是进一步</w:t>
      </w:r>
      <w:r>
        <w:rPr>
          <w:rFonts w:ascii="仿宋" w:hAnsi="仿宋" w:eastAsia="仿宋"/>
          <w:sz w:val="32"/>
          <w:szCs w:val="32"/>
        </w:rPr>
        <w:t>夯实财务基础工作；二是</w:t>
      </w:r>
      <w:r>
        <w:rPr>
          <w:rFonts w:hint="eastAsia" w:ascii="仿宋" w:hAnsi="仿宋" w:eastAsia="仿宋"/>
          <w:sz w:val="32"/>
          <w:szCs w:val="32"/>
        </w:rPr>
        <w:t>提升</w:t>
      </w:r>
      <w:r>
        <w:rPr>
          <w:rFonts w:ascii="仿宋" w:hAnsi="仿宋" w:eastAsia="仿宋"/>
          <w:sz w:val="32"/>
          <w:szCs w:val="32"/>
        </w:rPr>
        <w:t>项目</w:t>
      </w:r>
      <w:r>
        <w:rPr>
          <w:rFonts w:hint="eastAsia" w:ascii="仿宋" w:hAnsi="仿宋" w:eastAsia="仿宋"/>
          <w:sz w:val="32"/>
          <w:szCs w:val="32"/>
        </w:rPr>
        <w:t>绩效</w:t>
      </w:r>
      <w:r>
        <w:rPr>
          <w:rFonts w:ascii="仿宋" w:hAnsi="仿宋" w:eastAsia="仿宋"/>
          <w:sz w:val="32"/>
          <w:szCs w:val="32"/>
        </w:rPr>
        <w:t>目标</w:t>
      </w:r>
      <w:r>
        <w:rPr>
          <w:rFonts w:hint="eastAsia" w:ascii="仿宋" w:hAnsi="仿宋" w:eastAsia="仿宋"/>
          <w:sz w:val="32"/>
          <w:szCs w:val="32"/>
        </w:rPr>
        <w:t>和</w:t>
      </w:r>
      <w:r>
        <w:rPr>
          <w:rFonts w:ascii="仿宋" w:hAnsi="仿宋" w:eastAsia="仿宋"/>
          <w:sz w:val="32"/>
          <w:szCs w:val="32"/>
        </w:rPr>
        <w:t>指标设定</w:t>
      </w:r>
      <w:r>
        <w:rPr>
          <w:rFonts w:hint="eastAsia" w:ascii="仿宋" w:hAnsi="仿宋" w:eastAsia="仿宋"/>
          <w:sz w:val="32"/>
          <w:szCs w:val="32"/>
        </w:rPr>
        <w:t>的</w:t>
      </w:r>
      <w:r>
        <w:rPr>
          <w:rFonts w:ascii="仿宋" w:hAnsi="仿宋" w:eastAsia="仿宋"/>
          <w:sz w:val="32"/>
          <w:szCs w:val="32"/>
        </w:rPr>
        <w:t>合理性；三是进一步提升预算执行率。</w:t>
      </w:r>
    </w:p>
    <w:p>
      <w:pPr>
        <w:spacing w:line="200" w:lineRule="exact"/>
        <w:rPr>
          <w:sz w:val="20"/>
          <w:szCs w:val="20"/>
        </w:rPr>
      </w:pPr>
    </w:p>
    <w:p>
      <w:pPr>
        <w:spacing w:line="310" w:lineRule="exact"/>
        <w:rPr>
          <w:sz w:val="20"/>
          <w:szCs w:val="20"/>
        </w:rPr>
      </w:pPr>
      <w:bookmarkStart w:id="20" w:name="page43"/>
      <w:bookmarkEnd w:id="20"/>
      <w:bookmarkStart w:id="21" w:name="page38"/>
      <w:bookmarkEnd w:id="21"/>
    </w:p>
    <w:p>
      <w:pPr>
        <w:spacing w:line="310" w:lineRule="exact"/>
        <w:rPr>
          <w:sz w:val="20"/>
          <w:szCs w:val="20"/>
        </w:rPr>
      </w:pPr>
    </w:p>
    <w:p>
      <w:pPr>
        <w:spacing w:line="310" w:lineRule="exact"/>
        <w:rPr>
          <w:sz w:val="20"/>
          <w:szCs w:val="20"/>
        </w:rPr>
      </w:pPr>
    </w:p>
    <w:p>
      <w:pPr>
        <w:spacing w:line="310" w:lineRule="exact"/>
        <w:rPr>
          <w:sz w:val="20"/>
          <w:szCs w:val="20"/>
        </w:rPr>
      </w:pPr>
    </w:p>
    <w:p>
      <w:pPr>
        <w:rPr>
          <w:sz w:val="20"/>
          <w:szCs w:val="20"/>
        </w:rPr>
      </w:pPr>
    </w:p>
    <w:p>
      <w:pPr>
        <w:rPr>
          <w:sz w:val="20"/>
          <w:szCs w:val="20"/>
        </w:rPr>
      </w:pPr>
    </w:p>
    <w:p>
      <w:pPr>
        <w:rPr>
          <w:sz w:val="20"/>
          <w:szCs w:val="20"/>
        </w:rPr>
      </w:pPr>
    </w:p>
    <w:p>
      <w:pPr>
        <w:rPr>
          <w:rFonts w:hint="eastAsia"/>
          <w:sz w:val="20"/>
          <w:szCs w:val="20"/>
        </w:rPr>
      </w:pPr>
    </w:p>
    <w:p>
      <w:pPr>
        <w:spacing w:line="310" w:lineRule="exact"/>
        <w:rPr>
          <w:sz w:val="20"/>
          <w:szCs w:val="20"/>
        </w:rPr>
      </w:pPr>
    </w:p>
    <w:p>
      <w:pPr>
        <w:tabs>
          <w:tab w:val="left" w:pos="300"/>
        </w:tabs>
        <w:spacing w:line="366" w:lineRule="exact"/>
        <w:ind w:left="2720"/>
        <w:rPr>
          <w:rFonts w:ascii="方正小标宋_GBK" w:eastAsia="方正小标宋_GBK"/>
          <w:sz w:val="20"/>
          <w:szCs w:val="20"/>
        </w:rPr>
      </w:pPr>
      <w:r>
        <w:rPr>
          <w:rFonts w:hint="eastAsia" w:ascii="方正小标宋_GBK" w:hAnsi="黑体" w:eastAsia="方正小标宋_GBK" w:cs="黑体"/>
          <w:sz w:val="32"/>
          <w:szCs w:val="32"/>
        </w:rPr>
        <w:t>第四部分</w:t>
      </w:r>
      <w:r>
        <w:rPr>
          <w:rFonts w:hint="eastAsia" w:ascii="方正小标宋_GBK" w:hAnsi="黑体" w:eastAsia="方正小标宋_GBK" w:cs="黑体"/>
          <w:sz w:val="32"/>
          <w:szCs w:val="32"/>
        </w:rPr>
        <w:tab/>
      </w:r>
      <w:r>
        <w:rPr>
          <w:rFonts w:hint="eastAsia" w:ascii="方正小标宋_GBK" w:hAnsi="黑体" w:eastAsia="方正小标宋_GBK" w:cs="黑体"/>
          <w:sz w:val="32"/>
          <w:szCs w:val="32"/>
        </w:rPr>
        <w:t>名词解释</w:t>
      </w:r>
    </w:p>
    <w:p>
      <w:pPr>
        <w:spacing w:line="296" w:lineRule="exact"/>
        <w:rPr>
          <w:sz w:val="20"/>
          <w:szCs w:val="20"/>
        </w:rPr>
      </w:pPr>
    </w:p>
    <w:p>
      <w:pPr>
        <w:spacing w:line="366" w:lineRule="exact"/>
        <w:ind w:left="1000"/>
        <w:rPr>
          <w:rFonts w:ascii="仿宋" w:hAnsi="仿宋" w:eastAsia="仿宋"/>
          <w:sz w:val="20"/>
          <w:szCs w:val="20"/>
        </w:rPr>
      </w:pPr>
      <w:r>
        <w:rPr>
          <w:rFonts w:ascii="仿宋" w:hAnsi="仿宋" w:eastAsia="仿宋" w:cs="宋体"/>
          <w:b/>
          <w:bCs/>
          <w:sz w:val="32"/>
          <w:szCs w:val="32"/>
        </w:rPr>
        <w:t>（一）一般公共预算财政拨款收入：</w:t>
      </w:r>
      <w:r>
        <w:rPr>
          <w:rFonts w:ascii="仿宋" w:hAnsi="仿宋" w:eastAsia="仿宋" w:cs="宋体"/>
          <w:sz w:val="32"/>
          <w:szCs w:val="32"/>
        </w:rPr>
        <w:t>指中央财政当年拨</w:t>
      </w:r>
    </w:p>
    <w:p>
      <w:pPr>
        <w:spacing w:line="175" w:lineRule="exact"/>
        <w:rPr>
          <w:rFonts w:ascii="仿宋" w:hAnsi="仿宋" w:eastAsia="仿宋"/>
          <w:sz w:val="20"/>
          <w:szCs w:val="20"/>
        </w:rPr>
      </w:pPr>
    </w:p>
    <w:p>
      <w:pPr>
        <w:spacing w:line="366" w:lineRule="exact"/>
        <w:ind w:left="360"/>
        <w:rPr>
          <w:rFonts w:ascii="仿宋" w:hAnsi="仿宋" w:eastAsia="仿宋" w:cs="宋体"/>
          <w:sz w:val="32"/>
          <w:szCs w:val="32"/>
        </w:rPr>
      </w:pPr>
      <w:r>
        <w:rPr>
          <w:rFonts w:ascii="仿宋" w:hAnsi="仿宋" w:eastAsia="仿宋" w:cs="宋体"/>
          <w:sz w:val="32"/>
          <w:szCs w:val="32"/>
        </w:rPr>
        <w:t>付的资金。</w:t>
      </w:r>
    </w:p>
    <w:p>
      <w:pPr>
        <w:spacing w:line="175" w:lineRule="exact"/>
        <w:rPr>
          <w:rFonts w:ascii="仿宋" w:hAnsi="仿宋" w:eastAsia="仿宋"/>
          <w:sz w:val="20"/>
          <w:szCs w:val="20"/>
        </w:rPr>
      </w:pPr>
    </w:p>
    <w:p>
      <w:pPr>
        <w:spacing w:line="366" w:lineRule="exact"/>
        <w:ind w:left="1000"/>
        <w:rPr>
          <w:rFonts w:ascii="仿宋" w:hAnsi="仿宋" w:eastAsia="仿宋"/>
          <w:sz w:val="20"/>
          <w:szCs w:val="20"/>
        </w:rPr>
      </w:pPr>
      <w:r>
        <w:rPr>
          <w:rFonts w:ascii="仿宋" w:hAnsi="仿宋" w:eastAsia="仿宋" w:cs="宋体"/>
          <w:b/>
          <w:bCs/>
          <w:sz w:val="32"/>
          <w:szCs w:val="32"/>
        </w:rPr>
        <w:t>（二）事业收入：</w:t>
      </w:r>
      <w:r>
        <w:rPr>
          <w:rFonts w:ascii="仿宋" w:hAnsi="仿宋" w:eastAsia="仿宋" w:cs="宋体"/>
          <w:sz w:val="32"/>
          <w:szCs w:val="32"/>
        </w:rPr>
        <w:t>指事业单位开展专业业务活动及辅助</w:t>
      </w:r>
    </w:p>
    <w:p>
      <w:pPr>
        <w:spacing w:line="175" w:lineRule="exact"/>
        <w:rPr>
          <w:rFonts w:ascii="仿宋" w:hAnsi="仿宋" w:eastAsia="仿宋"/>
          <w:sz w:val="20"/>
          <w:szCs w:val="20"/>
        </w:rPr>
      </w:pPr>
    </w:p>
    <w:p>
      <w:pPr>
        <w:spacing w:line="366" w:lineRule="exact"/>
        <w:ind w:left="360"/>
        <w:rPr>
          <w:rFonts w:ascii="仿宋" w:hAnsi="仿宋" w:eastAsia="仿宋" w:cs="宋体"/>
          <w:sz w:val="32"/>
          <w:szCs w:val="32"/>
        </w:rPr>
      </w:pPr>
      <w:r>
        <w:rPr>
          <w:rFonts w:ascii="仿宋" w:hAnsi="仿宋" w:eastAsia="仿宋" w:cs="宋体"/>
          <w:sz w:val="32"/>
          <w:szCs w:val="32"/>
        </w:rPr>
        <w:t>活动取得的收入。</w:t>
      </w:r>
    </w:p>
    <w:p>
      <w:pPr>
        <w:spacing w:line="175" w:lineRule="exact"/>
        <w:rPr>
          <w:rFonts w:ascii="仿宋" w:hAnsi="仿宋" w:eastAsia="仿宋"/>
          <w:sz w:val="20"/>
          <w:szCs w:val="20"/>
        </w:rPr>
      </w:pPr>
    </w:p>
    <w:p>
      <w:pPr>
        <w:spacing w:line="366" w:lineRule="exact"/>
        <w:ind w:left="1000"/>
        <w:rPr>
          <w:rFonts w:ascii="仿宋" w:hAnsi="仿宋" w:eastAsia="仿宋"/>
          <w:sz w:val="20"/>
          <w:szCs w:val="20"/>
        </w:rPr>
      </w:pPr>
      <w:r>
        <w:rPr>
          <w:rFonts w:ascii="仿宋" w:hAnsi="仿宋" w:eastAsia="仿宋" w:cs="宋体"/>
          <w:b/>
          <w:bCs/>
          <w:sz w:val="32"/>
          <w:szCs w:val="32"/>
        </w:rPr>
        <w:t>（三）经营收入：</w:t>
      </w:r>
      <w:r>
        <w:rPr>
          <w:rFonts w:ascii="仿宋" w:hAnsi="仿宋" w:eastAsia="仿宋" w:cs="宋体"/>
          <w:sz w:val="32"/>
          <w:szCs w:val="32"/>
        </w:rPr>
        <w:t>指事业单位在专业业务活动及其辅助</w:t>
      </w:r>
    </w:p>
    <w:p>
      <w:pPr>
        <w:spacing w:line="175" w:lineRule="exact"/>
        <w:rPr>
          <w:rFonts w:ascii="仿宋" w:hAnsi="仿宋" w:eastAsia="仿宋"/>
          <w:sz w:val="20"/>
          <w:szCs w:val="20"/>
        </w:rPr>
      </w:pPr>
    </w:p>
    <w:p>
      <w:pPr>
        <w:spacing w:line="366" w:lineRule="exact"/>
        <w:ind w:left="360"/>
        <w:rPr>
          <w:rFonts w:ascii="仿宋" w:hAnsi="仿宋" w:eastAsia="仿宋" w:cs="宋体"/>
          <w:sz w:val="32"/>
          <w:szCs w:val="32"/>
        </w:rPr>
      </w:pPr>
      <w:r>
        <w:rPr>
          <w:rFonts w:ascii="仿宋" w:hAnsi="仿宋" w:eastAsia="仿宋" w:cs="宋体"/>
          <w:sz w:val="32"/>
          <w:szCs w:val="32"/>
        </w:rPr>
        <w:t>活动之外开展非独立核算经营活动取得的收入。</w:t>
      </w:r>
    </w:p>
    <w:p>
      <w:pPr>
        <w:spacing w:line="186" w:lineRule="exact"/>
        <w:rPr>
          <w:rFonts w:ascii="仿宋" w:hAnsi="仿宋" w:eastAsia="仿宋"/>
          <w:sz w:val="20"/>
          <w:szCs w:val="20"/>
        </w:rPr>
      </w:pPr>
    </w:p>
    <w:p>
      <w:pPr>
        <w:spacing w:line="354" w:lineRule="exact"/>
        <w:ind w:left="980"/>
        <w:rPr>
          <w:rFonts w:ascii="仿宋" w:hAnsi="仿宋" w:eastAsia="仿宋"/>
          <w:sz w:val="20"/>
          <w:szCs w:val="20"/>
        </w:rPr>
      </w:pPr>
      <w:r>
        <w:rPr>
          <w:rFonts w:ascii="仿宋" w:hAnsi="仿宋" w:eastAsia="仿宋" w:cs="宋体"/>
          <w:b/>
          <w:bCs/>
          <w:sz w:val="31"/>
          <w:szCs w:val="31"/>
        </w:rPr>
        <w:t>（四）其他收入：</w:t>
      </w:r>
      <w:r>
        <w:rPr>
          <w:rFonts w:ascii="仿宋" w:hAnsi="仿宋" w:eastAsia="仿宋" w:cs="宋体"/>
          <w:sz w:val="31"/>
          <w:szCs w:val="31"/>
        </w:rPr>
        <w:t>指除上述一般公共预算财政拨款收入、</w:t>
      </w:r>
    </w:p>
    <w:p>
      <w:pPr>
        <w:spacing w:line="223" w:lineRule="exact"/>
        <w:rPr>
          <w:rFonts w:ascii="仿宋" w:hAnsi="仿宋" w:eastAsia="仿宋"/>
          <w:sz w:val="20"/>
          <w:szCs w:val="20"/>
        </w:rPr>
      </w:pPr>
    </w:p>
    <w:p>
      <w:pPr>
        <w:spacing w:line="466" w:lineRule="exact"/>
        <w:ind w:left="360" w:right="346"/>
        <w:jc w:val="both"/>
        <w:rPr>
          <w:rFonts w:ascii="仿宋" w:hAnsi="仿宋" w:eastAsia="仿宋" w:cs="宋体"/>
          <w:sz w:val="32"/>
          <w:szCs w:val="32"/>
        </w:rPr>
      </w:pPr>
      <w:r>
        <w:rPr>
          <w:rFonts w:ascii="仿宋" w:hAnsi="仿宋" w:eastAsia="仿宋" w:cs="宋体"/>
          <w:sz w:val="32"/>
          <w:szCs w:val="32"/>
        </w:rPr>
        <w:t>事业收入、经营收入等以外的收入，主要为国家统计局直属各级调查队的地方财政拨款收入以及地方政府委托调查任务费用。</w:t>
      </w:r>
    </w:p>
    <w:p>
      <w:pPr>
        <w:spacing w:line="354" w:lineRule="exact"/>
        <w:ind w:left="980"/>
        <w:rPr>
          <w:rFonts w:ascii="仿宋" w:hAnsi="仿宋" w:eastAsia="仿宋"/>
          <w:sz w:val="20"/>
          <w:szCs w:val="20"/>
        </w:rPr>
      </w:pPr>
      <w:r>
        <w:rPr>
          <w:rFonts w:ascii="仿宋" w:hAnsi="仿宋" w:eastAsia="仿宋" w:cs="宋体"/>
          <w:b/>
          <w:bCs/>
          <w:sz w:val="31"/>
          <w:szCs w:val="31"/>
        </w:rPr>
        <w:t>（五）使用非财政拨款结余：</w:t>
      </w:r>
      <w:r>
        <w:rPr>
          <w:rFonts w:ascii="仿宋" w:hAnsi="仿宋" w:eastAsia="仿宋" w:cs="宋体"/>
          <w:sz w:val="31"/>
          <w:szCs w:val="31"/>
        </w:rPr>
        <w:t>指事业单位使用以前年度积</w:t>
      </w:r>
    </w:p>
    <w:p>
      <w:pPr>
        <w:spacing w:line="175" w:lineRule="exact"/>
        <w:rPr>
          <w:rFonts w:ascii="仿宋" w:hAnsi="仿宋" w:eastAsia="仿宋"/>
          <w:sz w:val="20"/>
          <w:szCs w:val="20"/>
        </w:rPr>
      </w:pPr>
    </w:p>
    <w:p>
      <w:pPr>
        <w:spacing w:line="366" w:lineRule="exact"/>
        <w:ind w:left="360"/>
        <w:rPr>
          <w:rFonts w:ascii="仿宋" w:hAnsi="仿宋" w:eastAsia="仿宋" w:cs="宋体"/>
          <w:sz w:val="32"/>
          <w:szCs w:val="32"/>
        </w:rPr>
      </w:pPr>
      <w:r>
        <w:rPr>
          <w:rFonts w:ascii="仿宋" w:hAnsi="仿宋" w:eastAsia="仿宋" w:cs="宋体"/>
          <w:sz w:val="32"/>
          <w:szCs w:val="32"/>
        </w:rPr>
        <w:t>累的非财政拨款结余弥补当年收支差额的金额。</w:t>
      </w:r>
    </w:p>
    <w:p>
      <w:pPr>
        <w:spacing w:line="466" w:lineRule="exact"/>
        <w:ind w:left="360" w:right="346" w:firstLine="643"/>
        <w:jc w:val="both"/>
        <w:rPr>
          <w:rFonts w:ascii="仿宋" w:hAnsi="仿宋" w:eastAsia="仿宋"/>
          <w:sz w:val="20"/>
          <w:szCs w:val="20"/>
        </w:rPr>
      </w:pPr>
      <w:r>
        <w:rPr>
          <w:rFonts w:ascii="仿宋" w:hAnsi="仿宋" w:eastAsia="仿宋" w:cs="宋体"/>
          <w:b/>
          <w:bCs/>
          <w:sz w:val="32"/>
          <w:szCs w:val="32"/>
        </w:rPr>
        <w:t>（六）年初结转和结余：</w:t>
      </w:r>
      <w:r>
        <w:rPr>
          <w:rFonts w:ascii="仿宋" w:hAnsi="仿宋" w:eastAsia="仿宋" w:cs="宋体"/>
          <w:sz w:val="32"/>
          <w:szCs w:val="32"/>
        </w:rPr>
        <w:t>指单位以前年度尚未完成、结转到本年按原规定用途继续使用的资金，或项目已完成等产生的结余资金。</w:t>
      </w:r>
    </w:p>
    <w:p>
      <w:pPr>
        <w:spacing w:line="466" w:lineRule="exact"/>
        <w:ind w:left="360" w:right="346" w:firstLine="571"/>
        <w:jc w:val="both"/>
        <w:rPr>
          <w:rFonts w:ascii="仿宋" w:hAnsi="仿宋" w:eastAsia="仿宋"/>
          <w:sz w:val="20"/>
          <w:szCs w:val="20"/>
        </w:rPr>
      </w:pPr>
      <w:r>
        <w:rPr>
          <w:rFonts w:ascii="仿宋" w:hAnsi="仿宋" w:eastAsia="仿宋" w:cs="宋体"/>
          <w:b/>
          <w:bCs/>
          <w:sz w:val="31"/>
          <w:szCs w:val="31"/>
        </w:rPr>
        <w:t>（七）一般公共服务支出（类）统计信息事务（款）行政运行（项）：</w:t>
      </w:r>
      <w:r>
        <w:rPr>
          <w:rFonts w:ascii="仿宋" w:hAnsi="仿宋" w:eastAsia="仿宋" w:cs="宋体"/>
          <w:sz w:val="31"/>
          <w:szCs w:val="31"/>
        </w:rPr>
        <w:t>指国家统计局行政单位及参照公务员法管理的事业单位（包括国家统计局本级、在京参公单位和国家统</w:t>
      </w:r>
    </w:p>
    <w:p>
      <w:pPr>
        <w:spacing w:line="135" w:lineRule="exact"/>
        <w:rPr>
          <w:rFonts w:ascii="仿宋" w:hAnsi="仿宋" w:eastAsia="仿宋"/>
          <w:sz w:val="20"/>
          <w:szCs w:val="20"/>
        </w:rPr>
      </w:pPr>
    </w:p>
    <w:p>
      <w:pPr>
        <w:rPr>
          <w:rFonts w:ascii="仿宋" w:hAnsi="仿宋" w:eastAsia="仿宋"/>
        </w:rPr>
        <w:sectPr>
          <w:pgSz w:w="11900" w:h="16838"/>
          <w:pgMar w:top="1438" w:right="1440" w:bottom="639" w:left="1440" w:header="0" w:footer="0" w:gutter="0"/>
          <w:cols w:equalWidth="0" w:num="1">
            <w:col w:w="9026"/>
          </w:cols>
        </w:sectPr>
      </w:pPr>
    </w:p>
    <w:p>
      <w:pPr>
        <w:spacing w:line="159" w:lineRule="exact"/>
        <w:rPr>
          <w:rFonts w:ascii="仿宋" w:hAnsi="仿宋" w:eastAsia="仿宋"/>
          <w:sz w:val="20"/>
          <w:szCs w:val="20"/>
        </w:rPr>
      </w:pPr>
      <w:bookmarkStart w:id="22" w:name="page44"/>
      <w:bookmarkEnd w:id="22"/>
    </w:p>
    <w:p>
      <w:pPr>
        <w:spacing w:line="428" w:lineRule="exact"/>
        <w:ind w:left="360" w:right="346"/>
        <w:rPr>
          <w:rFonts w:ascii="仿宋" w:hAnsi="仿宋" w:eastAsia="仿宋"/>
          <w:sz w:val="20"/>
          <w:szCs w:val="20"/>
        </w:rPr>
      </w:pPr>
      <w:r>
        <w:rPr>
          <w:rFonts w:ascii="仿宋" w:hAnsi="仿宋" w:eastAsia="仿宋" w:cs="宋体"/>
          <w:sz w:val="32"/>
          <w:szCs w:val="32"/>
        </w:rPr>
        <w:t>计局调查队系统）用于保障机构正常运行、开展日常工作的基本支出。</w:t>
      </w:r>
    </w:p>
    <w:p>
      <w:pPr>
        <w:spacing w:line="466" w:lineRule="exact"/>
        <w:ind w:left="360" w:right="346" w:firstLine="571"/>
        <w:jc w:val="both"/>
        <w:rPr>
          <w:rFonts w:ascii="仿宋" w:hAnsi="仿宋" w:eastAsia="仿宋"/>
          <w:sz w:val="20"/>
          <w:szCs w:val="20"/>
        </w:rPr>
      </w:pPr>
      <w:r>
        <w:rPr>
          <w:rFonts w:ascii="仿宋" w:hAnsi="仿宋" w:eastAsia="仿宋" w:cs="宋体"/>
          <w:b/>
          <w:bCs/>
          <w:sz w:val="32"/>
          <w:szCs w:val="32"/>
        </w:rPr>
        <w:t>（八）一般公共服务支出（类）统计信息事务（款）一般行政管理事务（项）：</w:t>
      </w:r>
      <w:r>
        <w:rPr>
          <w:rFonts w:ascii="仿宋" w:hAnsi="仿宋" w:eastAsia="仿宋" w:cs="宋体"/>
          <w:sz w:val="32"/>
          <w:szCs w:val="32"/>
        </w:rPr>
        <w:t>指国家统计局本级及下属预算单位开展统计工作等未单独设置项级科目的其他项目支出。</w:t>
      </w:r>
    </w:p>
    <w:p>
      <w:pPr>
        <w:spacing w:line="466" w:lineRule="exact"/>
        <w:ind w:left="360" w:right="366" w:firstLine="571"/>
        <w:jc w:val="both"/>
        <w:rPr>
          <w:rFonts w:ascii="仿宋" w:hAnsi="仿宋" w:eastAsia="仿宋"/>
          <w:sz w:val="20"/>
          <w:szCs w:val="20"/>
        </w:rPr>
      </w:pPr>
      <w:r>
        <w:rPr>
          <w:rFonts w:ascii="仿宋" w:hAnsi="仿宋" w:eastAsia="仿宋" w:cs="宋体"/>
          <w:b/>
          <w:bCs/>
          <w:sz w:val="32"/>
          <w:szCs w:val="32"/>
        </w:rPr>
        <w:t>（九）一般公共服务支出（类）统计信息事务（款）机关服务（项）：</w:t>
      </w:r>
      <w:r>
        <w:rPr>
          <w:rFonts w:ascii="仿宋" w:hAnsi="仿宋" w:eastAsia="仿宋" w:cs="宋体"/>
          <w:sz w:val="32"/>
          <w:szCs w:val="32"/>
        </w:rPr>
        <w:t>指国家统计局机关服务局为机关提供后勤保障服务的支出。</w:t>
      </w:r>
    </w:p>
    <w:p>
      <w:pPr>
        <w:spacing w:line="466" w:lineRule="exact"/>
        <w:ind w:left="360" w:right="366" w:firstLine="571"/>
        <w:jc w:val="both"/>
        <w:rPr>
          <w:rFonts w:ascii="仿宋" w:hAnsi="仿宋" w:eastAsia="仿宋"/>
          <w:sz w:val="20"/>
          <w:szCs w:val="20"/>
        </w:rPr>
      </w:pPr>
      <w:r>
        <w:rPr>
          <w:rFonts w:ascii="仿宋" w:hAnsi="仿宋" w:eastAsia="仿宋" w:cs="宋体"/>
          <w:b/>
          <w:bCs/>
          <w:sz w:val="32"/>
          <w:szCs w:val="32"/>
        </w:rPr>
        <w:t>（十）一般公共服务支出（类）统计信息事务（款）专项统计业务（项）：</w:t>
      </w:r>
      <w:r>
        <w:rPr>
          <w:rFonts w:ascii="仿宋" w:hAnsi="仿宋" w:eastAsia="仿宋" w:cs="宋体"/>
          <w:sz w:val="32"/>
          <w:szCs w:val="32"/>
        </w:rPr>
        <w:t>指国家统计局在日常业务之外开展专项统计工作的支出。</w:t>
      </w:r>
    </w:p>
    <w:p>
      <w:pPr>
        <w:spacing w:line="466" w:lineRule="exact"/>
        <w:ind w:left="360" w:right="366" w:firstLine="571"/>
        <w:jc w:val="both"/>
        <w:rPr>
          <w:rFonts w:ascii="仿宋" w:hAnsi="仿宋" w:eastAsia="仿宋"/>
          <w:sz w:val="20"/>
          <w:szCs w:val="20"/>
        </w:rPr>
      </w:pPr>
      <w:r>
        <w:rPr>
          <w:rFonts w:ascii="仿宋" w:hAnsi="仿宋" w:eastAsia="仿宋" w:cs="宋体"/>
          <w:b/>
          <w:bCs/>
          <w:sz w:val="32"/>
          <w:szCs w:val="32"/>
        </w:rPr>
        <w:t>（十一）一般公共服务支出（类）统计信息事务（款）统计管理（项）：</w:t>
      </w:r>
      <w:r>
        <w:rPr>
          <w:rFonts w:ascii="仿宋" w:hAnsi="仿宋" w:eastAsia="仿宋" w:cs="宋体"/>
          <w:sz w:val="32"/>
          <w:szCs w:val="32"/>
        </w:rPr>
        <w:t>指国家统计局统计信息化建设、统计职称考试等方面的支出。</w:t>
      </w:r>
    </w:p>
    <w:p>
      <w:pPr>
        <w:spacing w:line="466" w:lineRule="exact"/>
        <w:ind w:left="360" w:right="346" w:firstLine="571"/>
        <w:jc w:val="both"/>
        <w:rPr>
          <w:rFonts w:ascii="仿宋" w:hAnsi="仿宋" w:eastAsia="仿宋"/>
          <w:sz w:val="20"/>
          <w:szCs w:val="20"/>
        </w:rPr>
      </w:pPr>
      <w:r>
        <w:rPr>
          <w:rFonts w:ascii="仿宋" w:hAnsi="仿宋" w:eastAsia="仿宋" w:cs="宋体"/>
          <w:b/>
          <w:bCs/>
          <w:sz w:val="31"/>
          <w:szCs w:val="31"/>
        </w:rPr>
        <w:t>（十二）一般公共服务支出（类）统计信息事务（款）专项普查活动（项）：</w:t>
      </w:r>
      <w:r>
        <w:rPr>
          <w:rFonts w:ascii="仿宋" w:hAnsi="仿宋" w:eastAsia="仿宋" w:cs="宋体"/>
          <w:sz w:val="31"/>
          <w:szCs w:val="31"/>
        </w:rPr>
        <w:t>指国家统计局开展人口普查、经济普查、农业普查、投入产出调查等周期性普查工作的支出。</w:t>
      </w:r>
    </w:p>
    <w:p>
      <w:pPr>
        <w:spacing w:line="466" w:lineRule="exact"/>
        <w:ind w:left="360" w:right="366" w:firstLine="571"/>
        <w:jc w:val="both"/>
        <w:rPr>
          <w:rFonts w:ascii="仿宋" w:hAnsi="仿宋" w:eastAsia="仿宋"/>
          <w:sz w:val="20"/>
          <w:szCs w:val="20"/>
        </w:rPr>
      </w:pPr>
      <w:r>
        <w:rPr>
          <w:rFonts w:ascii="仿宋" w:hAnsi="仿宋" w:eastAsia="仿宋" w:cs="宋体"/>
          <w:b/>
          <w:bCs/>
          <w:sz w:val="32"/>
          <w:szCs w:val="32"/>
        </w:rPr>
        <w:t>（十三）一般公共服务支出（类）统计信息事务（款）统计抽样调查（项）：</w:t>
      </w:r>
      <w:r>
        <w:rPr>
          <w:rFonts w:ascii="仿宋" w:hAnsi="仿宋" w:eastAsia="仿宋" w:cs="宋体"/>
          <w:sz w:val="32"/>
          <w:szCs w:val="32"/>
        </w:rPr>
        <w:t>指国家统计局直属调查队开展各类统计调查工作的支出。</w:t>
      </w:r>
    </w:p>
    <w:p>
      <w:pPr>
        <w:spacing w:line="429" w:lineRule="exact"/>
        <w:ind w:left="360" w:right="346" w:firstLine="571"/>
        <w:rPr>
          <w:rFonts w:ascii="仿宋" w:hAnsi="仿宋" w:eastAsia="仿宋"/>
          <w:sz w:val="20"/>
          <w:szCs w:val="20"/>
        </w:rPr>
      </w:pPr>
      <w:r>
        <w:rPr>
          <w:rFonts w:ascii="仿宋" w:hAnsi="仿宋" w:eastAsia="仿宋" w:cs="宋体"/>
          <w:b/>
          <w:bCs/>
          <w:sz w:val="31"/>
          <w:szCs w:val="31"/>
        </w:rPr>
        <w:t>（十四）一般公共服务支出（类）统计信息事务（款）事业运行（项）：</w:t>
      </w:r>
      <w:r>
        <w:rPr>
          <w:rFonts w:ascii="仿宋" w:hAnsi="仿宋" w:eastAsia="仿宋" w:cs="宋体"/>
          <w:sz w:val="31"/>
          <w:szCs w:val="31"/>
        </w:rPr>
        <w:t>指国家统计局所属事业单位（包括在京事</w:t>
      </w:r>
    </w:p>
    <w:p>
      <w:pPr>
        <w:spacing w:line="223" w:lineRule="exact"/>
        <w:rPr>
          <w:rFonts w:ascii="仿宋" w:hAnsi="仿宋" w:eastAsia="仿宋"/>
          <w:sz w:val="20"/>
          <w:szCs w:val="20"/>
        </w:rPr>
      </w:pPr>
    </w:p>
    <w:p>
      <w:pPr>
        <w:spacing w:line="428" w:lineRule="exact"/>
        <w:ind w:left="360" w:right="346"/>
        <w:rPr>
          <w:rFonts w:ascii="仿宋" w:hAnsi="仿宋" w:eastAsia="仿宋"/>
          <w:sz w:val="20"/>
          <w:szCs w:val="20"/>
        </w:rPr>
      </w:pPr>
      <w:r>
        <w:rPr>
          <w:rFonts w:ascii="仿宋" w:hAnsi="仿宋" w:eastAsia="仿宋" w:cs="宋体"/>
          <w:sz w:val="32"/>
          <w:szCs w:val="32"/>
        </w:rPr>
        <w:t>业单位和统计局系统）用于保障机构正常运行、开展日常工作的基本支出。</w:t>
      </w:r>
    </w:p>
    <w:p>
      <w:pPr>
        <w:spacing w:line="177" w:lineRule="exact"/>
        <w:rPr>
          <w:rFonts w:ascii="仿宋" w:hAnsi="仿宋" w:eastAsia="仿宋"/>
          <w:sz w:val="20"/>
          <w:szCs w:val="20"/>
        </w:rPr>
      </w:pPr>
    </w:p>
    <w:p>
      <w:pPr>
        <w:spacing w:line="366" w:lineRule="exact"/>
        <w:ind w:left="920"/>
        <w:rPr>
          <w:rFonts w:ascii="仿宋" w:hAnsi="仿宋" w:eastAsia="仿宋"/>
          <w:sz w:val="20"/>
          <w:szCs w:val="20"/>
        </w:rPr>
      </w:pPr>
      <w:r>
        <w:rPr>
          <w:rFonts w:ascii="仿宋" w:hAnsi="仿宋" w:eastAsia="仿宋" w:cs="宋体"/>
          <w:b/>
          <w:bCs/>
          <w:w w:val="99"/>
          <w:sz w:val="32"/>
          <w:szCs w:val="32"/>
        </w:rPr>
        <w:t>（十五）一般公共服务支出（类）统计信息事务（款）</w:t>
      </w:r>
    </w:p>
    <w:p>
      <w:pPr>
        <w:spacing w:line="200" w:lineRule="exact"/>
        <w:rPr>
          <w:rFonts w:ascii="仿宋" w:hAnsi="仿宋" w:eastAsia="仿宋"/>
          <w:sz w:val="20"/>
          <w:szCs w:val="20"/>
        </w:rPr>
      </w:pPr>
    </w:p>
    <w:p>
      <w:pPr>
        <w:spacing w:line="350" w:lineRule="exact"/>
        <w:rPr>
          <w:rFonts w:ascii="仿宋" w:hAnsi="仿宋" w:eastAsia="仿宋"/>
          <w:sz w:val="20"/>
          <w:szCs w:val="20"/>
        </w:rPr>
      </w:pPr>
    </w:p>
    <w:p>
      <w:pPr>
        <w:rPr>
          <w:rFonts w:ascii="仿宋" w:hAnsi="仿宋" w:eastAsia="仿宋"/>
        </w:rPr>
        <w:sectPr>
          <w:pgSz w:w="11900" w:h="16838"/>
          <w:pgMar w:top="1440" w:right="1440" w:bottom="639" w:left="1440" w:header="0" w:footer="0" w:gutter="0"/>
          <w:cols w:equalWidth="0" w:num="1">
            <w:col w:w="9026"/>
          </w:cols>
        </w:sectPr>
      </w:pPr>
    </w:p>
    <w:p>
      <w:pPr>
        <w:spacing w:line="159" w:lineRule="exact"/>
        <w:rPr>
          <w:rFonts w:ascii="仿宋" w:hAnsi="仿宋" w:eastAsia="仿宋"/>
          <w:sz w:val="20"/>
          <w:szCs w:val="20"/>
        </w:rPr>
      </w:pPr>
      <w:bookmarkStart w:id="23" w:name="page45"/>
      <w:bookmarkEnd w:id="23"/>
    </w:p>
    <w:p>
      <w:pPr>
        <w:spacing w:line="428" w:lineRule="exact"/>
        <w:ind w:left="360" w:right="366"/>
        <w:rPr>
          <w:rFonts w:ascii="仿宋" w:hAnsi="仿宋" w:eastAsia="仿宋"/>
          <w:sz w:val="20"/>
          <w:szCs w:val="20"/>
        </w:rPr>
      </w:pPr>
      <w:r>
        <w:rPr>
          <w:rFonts w:ascii="仿宋" w:hAnsi="仿宋" w:eastAsia="仿宋" w:cs="宋体"/>
          <w:b/>
          <w:bCs/>
          <w:sz w:val="32"/>
          <w:szCs w:val="32"/>
        </w:rPr>
        <w:t>其他统计信息事务支出（项）：</w:t>
      </w:r>
      <w:r>
        <w:rPr>
          <w:rFonts w:ascii="仿宋" w:hAnsi="仿宋" w:eastAsia="仿宋" w:cs="宋体"/>
          <w:sz w:val="32"/>
          <w:szCs w:val="32"/>
        </w:rPr>
        <w:t>指国家统计局除上述项目以外的其他统计信息事务支出。</w:t>
      </w:r>
    </w:p>
    <w:p>
      <w:pPr>
        <w:spacing w:line="466" w:lineRule="exact"/>
        <w:ind w:left="360" w:right="366" w:firstLine="571"/>
        <w:jc w:val="both"/>
        <w:rPr>
          <w:rFonts w:ascii="仿宋" w:hAnsi="仿宋" w:eastAsia="仿宋"/>
          <w:sz w:val="20"/>
          <w:szCs w:val="20"/>
        </w:rPr>
      </w:pPr>
      <w:r>
        <w:rPr>
          <w:rFonts w:ascii="仿宋" w:hAnsi="仿宋" w:eastAsia="仿宋" w:cs="宋体"/>
          <w:b/>
          <w:bCs/>
          <w:sz w:val="32"/>
          <w:szCs w:val="32"/>
        </w:rPr>
        <w:t>（十六）外交支出（类）国际组织（款）国际组织会费（项）：</w:t>
      </w:r>
      <w:r>
        <w:rPr>
          <w:rFonts w:ascii="仿宋" w:hAnsi="仿宋" w:eastAsia="仿宋" w:cs="宋体"/>
          <w:sz w:val="32"/>
          <w:szCs w:val="32"/>
        </w:rPr>
        <w:t>指以我国政府或国家统计局名义参加国际组织，按国际组织规定缴纳的会费。</w:t>
      </w:r>
    </w:p>
    <w:p>
      <w:pPr>
        <w:spacing w:line="466" w:lineRule="exact"/>
        <w:ind w:left="360" w:right="346" w:firstLine="571"/>
        <w:jc w:val="both"/>
        <w:rPr>
          <w:rFonts w:ascii="仿宋" w:hAnsi="仿宋" w:eastAsia="仿宋"/>
          <w:sz w:val="20"/>
          <w:szCs w:val="20"/>
        </w:rPr>
      </w:pPr>
      <w:r>
        <w:rPr>
          <w:rFonts w:ascii="仿宋" w:hAnsi="仿宋" w:eastAsia="仿宋" w:cs="宋体"/>
          <w:b/>
          <w:bCs/>
          <w:sz w:val="32"/>
          <w:szCs w:val="32"/>
        </w:rPr>
        <w:t>（十七）外交支出（类）国际组织（款）国际组织捐赠（项）：</w:t>
      </w:r>
      <w:r>
        <w:rPr>
          <w:rFonts w:ascii="仿宋" w:hAnsi="仿宋" w:eastAsia="仿宋" w:cs="宋体"/>
          <w:sz w:val="32"/>
          <w:szCs w:val="32"/>
        </w:rPr>
        <w:t>指以我国政府或国家统计局名义，向国际组织的认捐、馈赠等支出。</w:t>
      </w:r>
    </w:p>
    <w:p>
      <w:pPr>
        <w:spacing w:line="428" w:lineRule="exact"/>
        <w:ind w:left="360" w:right="366" w:firstLine="571"/>
        <w:rPr>
          <w:rFonts w:ascii="仿宋" w:hAnsi="仿宋" w:eastAsia="仿宋"/>
          <w:sz w:val="20"/>
          <w:szCs w:val="20"/>
        </w:rPr>
      </w:pPr>
      <w:r>
        <w:rPr>
          <w:rFonts w:ascii="仿宋" w:hAnsi="仿宋" w:eastAsia="仿宋" w:cs="宋体"/>
          <w:b/>
          <w:bCs/>
          <w:sz w:val="32"/>
          <w:szCs w:val="32"/>
        </w:rPr>
        <w:t>（十八）科学技术支出（类）应用研究（款）机构运行（项）：</w:t>
      </w:r>
      <w:r>
        <w:rPr>
          <w:rFonts w:ascii="仿宋" w:hAnsi="仿宋" w:eastAsia="仿宋" w:cs="宋体"/>
          <w:sz w:val="32"/>
          <w:szCs w:val="32"/>
        </w:rPr>
        <w:t>指国家统计局统计科学研究所的基本支出。</w:t>
      </w:r>
    </w:p>
    <w:p>
      <w:pPr>
        <w:spacing w:line="466" w:lineRule="exact"/>
        <w:ind w:left="360" w:right="366" w:firstLine="571"/>
        <w:jc w:val="both"/>
        <w:rPr>
          <w:rFonts w:ascii="仿宋" w:hAnsi="仿宋" w:eastAsia="仿宋"/>
          <w:sz w:val="20"/>
          <w:szCs w:val="20"/>
        </w:rPr>
      </w:pPr>
      <w:r>
        <w:rPr>
          <w:rFonts w:ascii="仿宋" w:hAnsi="仿宋" w:eastAsia="仿宋" w:cs="宋体"/>
          <w:b/>
          <w:bCs/>
          <w:sz w:val="32"/>
          <w:szCs w:val="32"/>
        </w:rPr>
        <w:t>（十九）科学技术支出（类）应用研究（款）社会公益研究（项）：</w:t>
      </w:r>
      <w:r>
        <w:rPr>
          <w:rFonts w:ascii="仿宋" w:hAnsi="仿宋" w:eastAsia="仿宋" w:cs="宋体"/>
          <w:sz w:val="32"/>
          <w:szCs w:val="32"/>
        </w:rPr>
        <w:t>指国家统计局用于统计研究、统计技术开发和社会公益研究等专项科研方面的支出。</w:t>
      </w:r>
    </w:p>
    <w:p>
      <w:pPr>
        <w:spacing w:line="466" w:lineRule="exact"/>
        <w:ind w:left="360" w:right="346" w:firstLine="571"/>
        <w:jc w:val="both"/>
        <w:rPr>
          <w:rFonts w:ascii="仿宋" w:hAnsi="仿宋" w:eastAsia="仿宋"/>
          <w:sz w:val="20"/>
          <w:szCs w:val="20"/>
        </w:rPr>
      </w:pPr>
      <w:r>
        <w:rPr>
          <w:rFonts w:ascii="仿宋" w:hAnsi="仿宋" w:eastAsia="仿宋" w:cs="宋体"/>
          <w:b/>
          <w:bCs/>
          <w:sz w:val="32"/>
          <w:szCs w:val="32"/>
        </w:rPr>
        <w:t>（二十）科学技术支出（类）科技重大项目（款）科技重大专项（项）：</w:t>
      </w:r>
      <w:r>
        <w:rPr>
          <w:rFonts w:ascii="仿宋" w:hAnsi="仿宋" w:eastAsia="仿宋" w:cs="宋体"/>
          <w:sz w:val="32"/>
          <w:szCs w:val="32"/>
        </w:rPr>
        <w:t>指国家统计局用于科技重大专项的经费支出。</w:t>
      </w:r>
    </w:p>
    <w:p>
      <w:pPr>
        <w:spacing w:line="466" w:lineRule="exact"/>
        <w:ind w:left="360" w:right="346" w:firstLine="571"/>
        <w:jc w:val="both"/>
        <w:rPr>
          <w:rFonts w:ascii="仿宋" w:hAnsi="仿宋" w:eastAsia="仿宋"/>
          <w:sz w:val="20"/>
          <w:szCs w:val="20"/>
        </w:rPr>
      </w:pPr>
      <w:r>
        <w:rPr>
          <w:rFonts w:ascii="仿宋" w:hAnsi="仿宋" w:eastAsia="仿宋" w:cs="宋体"/>
          <w:b/>
          <w:bCs/>
          <w:sz w:val="32"/>
          <w:szCs w:val="32"/>
        </w:rPr>
        <w:t>（二十一）社会保障和就业支出（类）行政事业单位养老支出（款）行政单位离退休（项）：</w:t>
      </w:r>
      <w:r>
        <w:rPr>
          <w:rFonts w:ascii="仿宋" w:hAnsi="仿宋" w:eastAsia="仿宋" w:cs="宋体"/>
          <w:sz w:val="32"/>
          <w:szCs w:val="32"/>
        </w:rPr>
        <w:t>指国家统计局离退休干部局统一管理的离退休人员的支出。</w:t>
      </w:r>
    </w:p>
    <w:p>
      <w:pPr>
        <w:spacing w:line="466" w:lineRule="exact"/>
        <w:ind w:left="360" w:right="346" w:firstLine="571"/>
        <w:jc w:val="both"/>
        <w:rPr>
          <w:rFonts w:ascii="仿宋" w:hAnsi="仿宋" w:eastAsia="仿宋"/>
          <w:sz w:val="20"/>
          <w:szCs w:val="20"/>
        </w:rPr>
      </w:pPr>
      <w:r>
        <w:rPr>
          <w:rFonts w:ascii="仿宋" w:hAnsi="仿宋" w:eastAsia="仿宋" w:cs="宋体"/>
          <w:b/>
          <w:bCs/>
          <w:sz w:val="32"/>
          <w:szCs w:val="32"/>
        </w:rPr>
        <w:t>（二十二）社会保障和就业支出（类）行政事业单位养老支出（款）离退休人员管理机构（项）：</w:t>
      </w:r>
      <w:r>
        <w:rPr>
          <w:rFonts w:ascii="仿宋" w:hAnsi="仿宋" w:eastAsia="仿宋" w:cs="宋体"/>
          <w:sz w:val="32"/>
          <w:szCs w:val="32"/>
        </w:rPr>
        <w:t>指为离退休人员提供管理服务的国家统计局离退休干部局的支出。</w:t>
      </w:r>
    </w:p>
    <w:p>
      <w:pPr>
        <w:spacing w:line="428" w:lineRule="exact"/>
        <w:ind w:left="360" w:right="306" w:firstLine="571"/>
        <w:jc w:val="both"/>
        <w:rPr>
          <w:rFonts w:ascii="仿宋" w:hAnsi="仿宋" w:eastAsia="仿宋"/>
          <w:sz w:val="20"/>
          <w:szCs w:val="20"/>
        </w:rPr>
      </w:pPr>
      <w:r>
        <w:rPr>
          <w:rFonts w:ascii="仿宋" w:hAnsi="仿宋" w:eastAsia="仿宋" w:cs="宋体"/>
          <w:b/>
          <w:bCs/>
          <w:sz w:val="32"/>
          <w:szCs w:val="32"/>
        </w:rPr>
        <w:t>（二十三）社会保障和就业支出（类）行政事业单位养老支出（款）机关事业单位基本养老保险缴费支出（项）：</w:t>
      </w:r>
    </w:p>
    <w:p>
      <w:pPr>
        <w:spacing w:line="177" w:lineRule="exact"/>
        <w:rPr>
          <w:rFonts w:ascii="仿宋" w:hAnsi="仿宋" w:eastAsia="仿宋"/>
          <w:sz w:val="20"/>
          <w:szCs w:val="20"/>
        </w:rPr>
      </w:pPr>
    </w:p>
    <w:p>
      <w:pPr>
        <w:spacing w:line="366" w:lineRule="exact"/>
        <w:ind w:right="6"/>
        <w:jc w:val="center"/>
        <w:rPr>
          <w:rFonts w:ascii="仿宋" w:hAnsi="仿宋" w:eastAsia="仿宋"/>
          <w:sz w:val="20"/>
          <w:szCs w:val="20"/>
        </w:rPr>
      </w:pPr>
      <w:r>
        <w:rPr>
          <w:rFonts w:ascii="仿宋" w:hAnsi="仿宋" w:eastAsia="仿宋" w:cs="宋体"/>
          <w:sz w:val="32"/>
          <w:szCs w:val="32"/>
        </w:rPr>
        <w:t>指机关事业单位实施养老保险制度由单位缴纳的基本养老</w:t>
      </w:r>
    </w:p>
    <w:p>
      <w:pPr>
        <w:spacing w:line="200" w:lineRule="exact"/>
        <w:rPr>
          <w:rFonts w:ascii="仿宋" w:hAnsi="仿宋" w:eastAsia="仿宋"/>
          <w:sz w:val="20"/>
          <w:szCs w:val="20"/>
        </w:rPr>
      </w:pPr>
    </w:p>
    <w:p>
      <w:pPr>
        <w:spacing w:line="350" w:lineRule="exact"/>
        <w:rPr>
          <w:rFonts w:ascii="仿宋" w:hAnsi="仿宋" w:eastAsia="仿宋"/>
          <w:sz w:val="20"/>
          <w:szCs w:val="20"/>
        </w:rPr>
      </w:pPr>
    </w:p>
    <w:p>
      <w:pPr>
        <w:rPr>
          <w:rFonts w:ascii="仿宋" w:hAnsi="仿宋" w:eastAsia="仿宋"/>
        </w:rPr>
        <w:sectPr>
          <w:pgSz w:w="11900" w:h="16838"/>
          <w:pgMar w:top="1440" w:right="1440" w:bottom="639" w:left="1440" w:header="0" w:footer="0" w:gutter="0"/>
          <w:cols w:equalWidth="0" w:num="1">
            <w:col w:w="9026"/>
          </w:cols>
        </w:sectPr>
      </w:pPr>
    </w:p>
    <w:p>
      <w:pPr>
        <w:spacing w:line="111" w:lineRule="exact"/>
        <w:rPr>
          <w:rFonts w:ascii="仿宋" w:hAnsi="仿宋" w:eastAsia="仿宋"/>
          <w:sz w:val="20"/>
          <w:szCs w:val="20"/>
        </w:rPr>
      </w:pPr>
      <w:bookmarkStart w:id="24" w:name="page46"/>
      <w:bookmarkEnd w:id="24"/>
    </w:p>
    <w:p>
      <w:pPr>
        <w:spacing w:line="366" w:lineRule="exact"/>
        <w:ind w:left="360"/>
        <w:rPr>
          <w:rFonts w:ascii="仿宋" w:hAnsi="仿宋" w:eastAsia="仿宋"/>
          <w:sz w:val="20"/>
          <w:szCs w:val="20"/>
        </w:rPr>
      </w:pPr>
      <w:r>
        <w:rPr>
          <w:rFonts w:ascii="仿宋" w:hAnsi="仿宋" w:eastAsia="仿宋" w:cs="宋体"/>
          <w:sz w:val="32"/>
          <w:szCs w:val="32"/>
        </w:rPr>
        <w:t>保险费支出。</w:t>
      </w:r>
    </w:p>
    <w:p>
      <w:pPr>
        <w:spacing w:line="466" w:lineRule="exact"/>
        <w:ind w:left="360" w:right="346" w:firstLine="571"/>
        <w:jc w:val="both"/>
        <w:rPr>
          <w:rFonts w:ascii="仿宋" w:hAnsi="仿宋" w:eastAsia="仿宋"/>
          <w:sz w:val="20"/>
          <w:szCs w:val="20"/>
        </w:rPr>
      </w:pPr>
      <w:r>
        <w:rPr>
          <w:rFonts w:ascii="仿宋" w:hAnsi="仿宋" w:eastAsia="仿宋" w:cs="宋体"/>
          <w:b/>
          <w:bCs/>
          <w:sz w:val="31"/>
          <w:szCs w:val="31"/>
        </w:rPr>
        <w:t>（二十四）社会保障和就业支出（类）行政事业单位养老支出（款）机关事业单位职业年金缴费支出（项）：</w:t>
      </w:r>
      <w:r>
        <w:rPr>
          <w:rFonts w:ascii="仿宋" w:hAnsi="仿宋" w:eastAsia="仿宋" w:cs="宋体"/>
          <w:sz w:val="31"/>
          <w:szCs w:val="31"/>
        </w:rPr>
        <w:t>指机关事业单位实施养老保险制度由单位缴纳的职业年金支出。</w:t>
      </w:r>
    </w:p>
    <w:p>
      <w:pPr>
        <w:spacing w:line="465" w:lineRule="exact"/>
        <w:ind w:left="360" w:right="186" w:firstLine="643"/>
        <w:rPr>
          <w:rFonts w:ascii="仿宋" w:hAnsi="仿宋" w:eastAsia="仿宋"/>
          <w:sz w:val="20"/>
          <w:szCs w:val="20"/>
        </w:rPr>
      </w:pPr>
      <w:r>
        <w:rPr>
          <w:rFonts w:ascii="仿宋" w:hAnsi="仿宋" w:eastAsia="仿宋" w:cs="宋体"/>
          <w:b/>
          <w:bCs/>
          <w:sz w:val="32"/>
          <w:szCs w:val="32"/>
        </w:rPr>
        <w:t>（二十五）卫生健康支出（类）行政事业单位医疗（款）行政单位医疗（项）</w:t>
      </w:r>
      <w:r>
        <w:rPr>
          <w:rFonts w:ascii="仿宋" w:hAnsi="仿宋" w:eastAsia="仿宋" w:cs="Arial"/>
          <w:b/>
          <w:bCs/>
          <w:sz w:val="32"/>
          <w:szCs w:val="32"/>
        </w:rPr>
        <w:t>:</w:t>
      </w:r>
      <w:r>
        <w:rPr>
          <w:rFonts w:ascii="仿宋" w:hAnsi="仿宋" w:eastAsia="仿宋" w:cs="宋体"/>
          <w:sz w:val="32"/>
          <w:szCs w:val="32"/>
        </w:rPr>
        <w:t>指中央财政安排的行政单位（包括参照公务员法管理事业单位）基本医疗保险缴费经费。</w:t>
      </w:r>
    </w:p>
    <w:p>
      <w:pPr>
        <w:spacing w:line="466" w:lineRule="exact"/>
        <w:ind w:left="360" w:right="186" w:firstLine="571"/>
        <w:rPr>
          <w:rFonts w:ascii="仿宋" w:hAnsi="仿宋" w:eastAsia="仿宋"/>
          <w:sz w:val="20"/>
          <w:szCs w:val="20"/>
        </w:rPr>
      </w:pPr>
      <w:r>
        <w:rPr>
          <w:rFonts w:ascii="仿宋" w:hAnsi="仿宋" w:eastAsia="仿宋" w:cs="宋体"/>
          <w:b/>
          <w:bCs/>
          <w:sz w:val="32"/>
          <w:szCs w:val="32"/>
        </w:rPr>
        <w:t>（二十六）卫生健康支出（类）行政事业单位医疗（款）公务员医疗补助（项）：</w:t>
      </w:r>
      <w:r>
        <w:rPr>
          <w:rFonts w:ascii="仿宋" w:hAnsi="仿宋" w:eastAsia="仿宋" w:cs="宋体"/>
          <w:sz w:val="32"/>
          <w:szCs w:val="32"/>
        </w:rPr>
        <w:t>指中央财政安排的公务员医疗补助经费。</w:t>
      </w:r>
    </w:p>
    <w:p>
      <w:pPr>
        <w:spacing w:line="428" w:lineRule="exact"/>
        <w:ind w:left="360" w:right="186" w:firstLine="643"/>
        <w:rPr>
          <w:rFonts w:ascii="仿宋" w:hAnsi="仿宋" w:eastAsia="仿宋"/>
          <w:sz w:val="20"/>
          <w:szCs w:val="20"/>
        </w:rPr>
      </w:pPr>
      <w:r>
        <w:rPr>
          <w:rFonts w:ascii="仿宋" w:hAnsi="仿宋" w:eastAsia="仿宋" w:cs="宋体"/>
          <w:b/>
          <w:bCs/>
          <w:sz w:val="31"/>
          <w:szCs w:val="31"/>
        </w:rPr>
        <w:t>（二十七）住房保障支出（类）住房改革支出（款）住房公积金（项）：</w:t>
      </w:r>
      <w:r>
        <w:rPr>
          <w:rFonts w:ascii="仿宋" w:hAnsi="仿宋" w:eastAsia="仿宋" w:cs="宋体"/>
          <w:sz w:val="31"/>
          <w:szCs w:val="31"/>
        </w:rPr>
        <w:t>指行政事业单位按人力资源和社会保障部、</w:t>
      </w:r>
    </w:p>
    <w:p>
      <w:pPr>
        <w:spacing w:line="225" w:lineRule="exact"/>
        <w:rPr>
          <w:rFonts w:ascii="仿宋" w:hAnsi="仿宋" w:eastAsia="仿宋"/>
          <w:sz w:val="20"/>
          <w:szCs w:val="20"/>
        </w:rPr>
      </w:pPr>
    </w:p>
    <w:p>
      <w:pPr>
        <w:spacing w:line="428" w:lineRule="exact"/>
        <w:ind w:left="360" w:right="366"/>
        <w:rPr>
          <w:rFonts w:ascii="仿宋" w:hAnsi="仿宋" w:eastAsia="仿宋"/>
          <w:sz w:val="20"/>
          <w:szCs w:val="20"/>
        </w:rPr>
      </w:pPr>
      <w:r>
        <w:rPr>
          <w:rFonts w:ascii="仿宋" w:hAnsi="仿宋" w:eastAsia="仿宋" w:cs="宋体"/>
          <w:sz w:val="32"/>
          <w:szCs w:val="32"/>
        </w:rPr>
        <w:t>财政部规定的基本工资和津贴补贴以及规定比例为职工缴纳的住房公积金。</w:t>
      </w:r>
    </w:p>
    <w:p>
      <w:pPr>
        <w:spacing w:line="466" w:lineRule="exact"/>
        <w:ind w:left="360" w:right="346" w:firstLine="643"/>
        <w:jc w:val="both"/>
        <w:rPr>
          <w:rFonts w:ascii="仿宋" w:hAnsi="仿宋" w:eastAsia="仿宋"/>
          <w:sz w:val="20"/>
          <w:szCs w:val="20"/>
        </w:rPr>
      </w:pPr>
      <w:r>
        <w:rPr>
          <w:rFonts w:ascii="仿宋" w:hAnsi="仿宋" w:eastAsia="仿宋" w:cs="宋体"/>
          <w:b/>
          <w:bCs/>
          <w:sz w:val="32"/>
          <w:szCs w:val="32"/>
        </w:rPr>
        <w:t>（二十八）住房保障支出（类）住房改革支出（款）提租补贴（项）：</w:t>
      </w:r>
      <w:r>
        <w:rPr>
          <w:rFonts w:ascii="仿宋" w:hAnsi="仿宋" w:eastAsia="仿宋" w:cs="宋体"/>
          <w:sz w:val="32"/>
          <w:szCs w:val="32"/>
        </w:rPr>
        <w:t>指按房改政策规定的标准，行政事业单位向职工（含离退休人员）发放的租金补贴。</w:t>
      </w:r>
    </w:p>
    <w:p>
      <w:pPr>
        <w:spacing w:line="466" w:lineRule="exact"/>
        <w:ind w:left="360" w:right="346" w:firstLine="643"/>
        <w:jc w:val="both"/>
        <w:rPr>
          <w:rFonts w:ascii="仿宋" w:hAnsi="仿宋" w:eastAsia="仿宋"/>
          <w:sz w:val="20"/>
          <w:szCs w:val="20"/>
        </w:rPr>
      </w:pPr>
      <w:r>
        <w:rPr>
          <w:rFonts w:ascii="仿宋" w:hAnsi="仿宋" w:eastAsia="仿宋" w:cs="宋体"/>
          <w:b/>
          <w:bCs/>
          <w:sz w:val="31"/>
          <w:szCs w:val="31"/>
        </w:rPr>
        <w:t>（二十九）住房保障支出（类）住房改革支出（款）购房补贴（项）：</w:t>
      </w:r>
      <w:r>
        <w:rPr>
          <w:rFonts w:ascii="仿宋" w:hAnsi="仿宋" w:eastAsia="仿宋" w:cs="宋体"/>
          <w:sz w:val="31"/>
          <w:szCs w:val="31"/>
        </w:rPr>
        <w:t>指按房改政策规定，行政事业单位向符合条件职工（含离退休人员）发放的用于购买住房的补贴。</w:t>
      </w:r>
    </w:p>
    <w:p>
      <w:pPr>
        <w:spacing w:line="466" w:lineRule="exact"/>
        <w:ind w:left="360" w:right="346" w:firstLine="643"/>
        <w:jc w:val="both"/>
        <w:rPr>
          <w:rFonts w:ascii="仿宋" w:hAnsi="仿宋" w:eastAsia="仿宋"/>
          <w:sz w:val="20"/>
          <w:szCs w:val="20"/>
        </w:rPr>
      </w:pPr>
      <w:r>
        <w:rPr>
          <w:rFonts w:ascii="仿宋" w:hAnsi="仿宋" w:eastAsia="仿宋" w:cs="宋体"/>
          <w:b/>
          <w:bCs/>
          <w:sz w:val="32"/>
          <w:szCs w:val="32"/>
        </w:rPr>
        <w:t>（三十）结余分配：</w:t>
      </w:r>
      <w:r>
        <w:rPr>
          <w:rFonts w:ascii="仿宋" w:hAnsi="仿宋" w:eastAsia="仿宋" w:cs="宋体"/>
          <w:sz w:val="32"/>
          <w:szCs w:val="32"/>
        </w:rPr>
        <w:t>指事业单位按照会计制度规定缴纳的所得税、提取的专用结余以及转入非财政拨款结余的金额等。</w:t>
      </w:r>
    </w:p>
    <w:p>
      <w:pPr>
        <w:spacing w:line="366" w:lineRule="exact"/>
        <w:ind w:left="1000"/>
        <w:rPr>
          <w:rFonts w:ascii="仿宋" w:hAnsi="仿宋" w:eastAsia="仿宋"/>
          <w:sz w:val="20"/>
          <w:szCs w:val="20"/>
        </w:rPr>
      </w:pPr>
      <w:r>
        <w:rPr>
          <w:rFonts w:ascii="仿宋" w:hAnsi="仿宋" w:eastAsia="仿宋" w:cs="宋体"/>
          <w:b/>
          <w:bCs/>
          <w:sz w:val="32"/>
          <w:szCs w:val="32"/>
        </w:rPr>
        <w:t>（三十一）年末结转和结余：</w:t>
      </w:r>
      <w:r>
        <w:rPr>
          <w:rFonts w:ascii="仿宋" w:hAnsi="仿宋" w:eastAsia="仿宋" w:cs="宋体"/>
          <w:sz w:val="32"/>
          <w:szCs w:val="32"/>
        </w:rPr>
        <w:t>指单位按有关规定结转到</w:t>
      </w:r>
    </w:p>
    <w:p>
      <w:pPr>
        <w:spacing w:line="175" w:lineRule="exact"/>
        <w:rPr>
          <w:rFonts w:ascii="仿宋" w:hAnsi="仿宋" w:eastAsia="仿宋"/>
          <w:sz w:val="20"/>
          <w:szCs w:val="20"/>
        </w:rPr>
      </w:pPr>
    </w:p>
    <w:p>
      <w:pPr>
        <w:spacing w:line="366" w:lineRule="exact"/>
        <w:ind w:left="360"/>
        <w:rPr>
          <w:rFonts w:ascii="仿宋" w:hAnsi="仿宋" w:eastAsia="仿宋"/>
          <w:sz w:val="20"/>
          <w:szCs w:val="20"/>
        </w:rPr>
      </w:pPr>
      <w:r>
        <w:rPr>
          <w:rFonts w:ascii="仿宋" w:hAnsi="仿宋" w:eastAsia="仿宋" w:cs="宋体"/>
          <w:sz w:val="32"/>
          <w:szCs w:val="32"/>
        </w:rPr>
        <w:t>下年或以后年度继续使用的资金，或项目已完成等产生的结</w:t>
      </w:r>
    </w:p>
    <w:p>
      <w:pPr>
        <w:spacing w:line="200" w:lineRule="exact"/>
        <w:rPr>
          <w:rFonts w:ascii="仿宋" w:hAnsi="仿宋" w:eastAsia="仿宋"/>
          <w:sz w:val="20"/>
          <w:szCs w:val="20"/>
        </w:rPr>
      </w:pPr>
    </w:p>
    <w:p>
      <w:pPr>
        <w:spacing w:line="350" w:lineRule="exact"/>
        <w:rPr>
          <w:rFonts w:ascii="仿宋" w:hAnsi="仿宋" w:eastAsia="仿宋"/>
          <w:sz w:val="20"/>
          <w:szCs w:val="20"/>
        </w:rPr>
      </w:pPr>
    </w:p>
    <w:p>
      <w:pPr>
        <w:rPr>
          <w:rFonts w:ascii="仿宋" w:hAnsi="仿宋" w:eastAsia="仿宋"/>
        </w:rPr>
        <w:sectPr>
          <w:pgSz w:w="11900" w:h="16838"/>
          <w:pgMar w:top="1440" w:right="1440" w:bottom="639" w:left="1440" w:header="0" w:footer="0" w:gutter="0"/>
          <w:cols w:equalWidth="0" w:num="1">
            <w:col w:w="9026"/>
          </w:cols>
        </w:sectPr>
      </w:pPr>
    </w:p>
    <w:p>
      <w:pPr>
        <w:spacing w:line="111" w:lineRule="exact"/>
        <w:rPr>
          <w:rFonts w:ascii="仿宋" w:hAnsi="仿宋" w:eastAsia="仿宋"/>
          <w:sz w:val="20"/>
          <w:szCs w:val="20"/>
        </w:rPr>
      </w:pPr>
      <w:bookmarkStart w:id="25" w:name="page47"/>
      <w:bookmarkEnd w:id="25"/>
    </w:p>
    <w:p>
      <w:pPr>
        <w:spacing w:line="366" w:lineRule="exact"/>
        <w:ind w:left="360"/>
        <w:rPr>
          <w:rFonts w:ascii="仿宋" w:hAnsi="仿宋" w:eastAsia="仿宋"/>
          <w:sz w:val="20"/>
          <w:szCs w:val="20"/>
        </w:rPr>
      </w:pPr>
      <w:r>
        <w:rPr>
          <w:rFonts w:ascii="仿宋" w:hAnsi="仿宋" w:eastAsia="仿宋" w:cs="宋体"/>
          <w:sz w:val="32"/>
          <w:szCs w:val="32"/>
        </w:rPr>
        <w:t>余资金。</w:t>
      </w:r>
    </w:p>
    <w:p>
      <w:pPr>
        <w:spacing w:line="187" w:lineRule="exact"/>
        <w:rPr>
          <w:rFonts w:ascii="仿宋" w:hAnsi="仿宋" w:eastAsia="仿宋"/>
          <w:sz w:val="20"/>
          <w:szCs w:val="20"/>
        </w:rPr>
      </w:pPr>
    </w:p>
    <w:p>
      <w:pPr>
        <w:spacing w:line="354" w:lineRule="exact"/>
        <w:ind w:left="1000"/>
        <w:rPr>
          <w:rFonts w:ascii="仿宋" w:hAnsi="仿宋" w:eastAsia="仿宋"/>
          <w:sz w:val="20"/>
          <w:szCs w:val="20"/>
        </w:rPr>
      </w:pPr>
      <w:r>
        <w:rPr>
          <w:rFonts w:ascii="仿宋" w:hAnsi="仿宋" w:eastAsia="仿宋" w:cs="宋体"/>
          <w:b/>
          <w:bCs/>
          <w:sz w:val="31"/>
          <w:szCs w:val="31"/>
        </w:rPr>
        <w:t>（三十二）基本支出：</w:t>
      </w:r>
      <w:r>
        <w:rPr>
          <w:rFonts w:ascii="仿宋" w:hAnsi="仿宋" w:eastAsia="仿宋" w:cs="宋体"/>
          <w:sz w:val="31"/>
          <w:szCs w:val="31"/>
        </w:rPr>
        <w:t>指为保障机构正常运转、完成日</w:t>
      </w:r>
    </w:p>
    <w:p>
      <w:pPr>
        <w:spacing w:line="175" w:lineRule="exact"/>
        <w:rPr>
          <w:rFonts w:ascii="仿宋" w:hAnsi="仿宋" w:eastAsia="仿宋"/>
          <w:sz w:val="20"/>
          <w:szCs w:val="20"/>
        </w:rPr>
      </w:pPr>
    </w:p>
    <w:p>
      <w:pPr>
        <w:spacing w:line="366" w:lineRule="exact"/>
        <w:ind w:left="360"/>
        <w:rPr>
          <w:rFonts w:ascii="仿宋" w:hAnsi="仿宋" w:eastAsia="仿宋"/>
          <w:sz w:val="20"/>
          <w:szCs w:val="20"/>
        </w:rPr>
      </w:pPr>
      <w:r>
        <w:rPr>
          <w:rFonts w:ascii="仿宋" w:hAnsi="仿宋" w:eastAsia="仿宋" w:cs="宋体"/>
          <w:sz w:val="32"/>
          <w:szCs w:val="32"/>
        </w:rPr>
        <w:t>常工作任务而发生的人员支出和公用支出。</w:t>
      </w:r>
    </w:p>
    <w:p>
      <w:pPr>
        <w:spacing w:line="186" w:lineRule="exact"/>
        <w:rPr>
          <w:rFonts w:ascii="仿宋" w:hAnsi="仿宋" w:eastAsia="仿宋"/>
          <w:sz w:val="20"/>
          <w:szCs w:val="20"/>
        </w:rPr>
      </w:pPr>
    </w:p>
    <w:p>
      <w:pPr>
        <w:spacing w:line="354" w:lineRule="exact"/>
        <w:ind w:left="1000"/>
        <w:rPr>
          <w:rFonts w:ascii="仿宋" w:hAnsi="仿宋" w:eastAsia="仿宋"/>
          <w:sz w:val="20"/>
          <w:szCs w:val="20"/>
        </w:rPr>
      </w:pPr>
      <w:r>
        <w:rPr>
          <w:rFonts w:ascii="仿宋" w:hAnsi="仿宋" w:eastAsia="仿宋" w:cs="宋体"/>
          <w:b/>
          <w:bCs/>
          <w:sz w:val="31"/>
          <w:szCs w:val="31"/>
        </w:rPr>
        <w:t>（三十三）项目支出：</w:t>
      </w:r>
      <w:r>
        <w:rPr>
          <w:rFonts w:ascii="仿宋" w:hAnsi="仿宋" w:eastAsia="仿宋" w:cs="宋体"/>
          <w:sz w:val="31"/>
          <w:szCs w:val="31"/>
        </w:rPr>
        <w:t>指在基本支出之外为完成特定行</w:t>
      </w:r>
    </w:p>
    <w:p>
      <w:pPr>
        <w:spacing w:line="175" w:lineRule="exact"/>
        <w:rPr>
          <w:rFonts w:ascii="仿宋" w:hAnsi="仿宋" w:eastAsia="仿宋"/>
          <w:sz w:val="20"/>
          <w:szCs w:val="20"/>
        </w:rPr>
      </w:pPr>
    </w:p>
    <w:p>
      <w:pPr>
        <w:spacing w:line="366" w:lineRule="exact"/>
        <w:ind w:left="360"/>
        <w:rPr>
          <w:rFonts w:ascii="仿宋" w:hAnsi="仿宋" w:eastAsia="仿宋"/>
          <w:sz w:val="20"/>
          <w:szCs w:val="20"/>
        </w:rPr>
      </w:pPr>
      <w:r>
        <w:rPr>
          <w:rFonts w:ascii="仿宋" w:hAnsi="仿宋" w:eastAsia="仿宋" w:cs="宋体"/>
          <w:sz w:val="32"/>
          <w:szCs w:val="32"/>
        </w:rPr>
        <w:t>政任务和事业发展目标所发生的支出。</w:t>
      </w:r>
    </w:p>
    <w:p>
      <w:pPr>
        <w:spacing w:line="186" w:lineRule="exact"/>
        <w:rPr>
          <w:rFonts w:ascii="仿宋" w:hAnsi="仿宋" w:eastAsia="仿宋"/>
          <w:sz w:val="20"/>
          <w:szCs w:val="20"/>
        </w:rPr>
      </w:pPr>
    </w:p>
    <w:p>
      <w:pPr>
        <w:spacing w:line="354" w:lineRule="exact"/>
        <w:ind w:left="1000"/>
        <w:rPr>
          <w:rFonts w:ascii="仿宋" w:hAnsi="仿宋" w:eastAsia="仿宋"/>
          <w:sz w:val="20"/>
          <w:szCs w:val="20"/>
        </w:rPr>
      </w:pPr>
      <w:r>
        <w:rPr>
          <w:rFonts w:ascii="仿宋" w:hAnsi="仿宋" w:eastAsia="仿宋" w:cs="宋体"/>
          <w:b/>
          <w:bCs/>
          <w:sz w:val="31"/>
          <w:szCs w:val="31"/>
        </w:rPr>
        <w:t>（三十四）经营支出：</w:t>
      </w:r>
      <w:r>
        <w:rPr>
          <w:rFonts w:ascii="仿宋" w:hAnsi="仿宋" w:eastAsia="仿宋" w:cs="宋体"/>
          <w:sz w:val="31"/>
          <w:szCs w:val="31"/>
        </w:rPr>
        <w:t>指事业单位在专业业务活动及其</w:t>
      </w:r>
    </w:p>
    <w:p>
      <w:pPr>
        <w:spacing w:line="175" w:lineRule="exact"/>
        <w:rPr>
          <w:rFonts w:ascii="仿宋" w:hAnsi="仿宋" w:eastAsia="仿宋"/>
          <w:sz w:val="20"/>
          <w:szCs w:val="20"/>
        </w:rPr>
      </w:pPr>
    </w:p>
    <w:p>
      <w:pPr>
        <w:spacing w:line="366" w:lineRule="exact"/>
        <w:ind w:left="360"/>
        <w:rPr>
          <w:rFonts w:ascii="仿宋" w:hAnsi="仿宋" w:eastAsia="仿宋"/>
          <w:sz w:val="20"/>
          <w:szCs w:val="20"/>
        </w:rPr>
      </w:pPr>
      <w:r>
        <w:rPr>
          <w:rFonts w:ascii="仿宋" w:hAnsi="仿宋" w:eastAsia="仿宋" w:cs="宋体"/>
          <w:sz w:val="32"/>
          <w:szCs w:val="32"/>
        </w:rPr>
        <w:t>辅助活动之外开展非独立核算经营活动发生的支出。</w:t>
      </w:r>
    </w:p>
    <w:p>
      <w:pPr>
        <w:spacing w:line="152" w:lineRule="exact"/>
        <w:rPr>
          <w:rFonts w:ascii="仿宋" w:hAnsi="仿宋" w:eastAsia="仿宋"/>
          <w:sz w:val="20"/>
          <w:szCs w:val="20"/>
        </w:rPr>
      </w:pPr>
    </w:p>
    <w:p>
      <w:pPr>
        <w:spacing w:line="502" w:lineRule="exact"/>
        <w:ind w:left="360" w:right="366" w:firstLine="643"/>
        <w:jc w:val="both"/>
        <w:rPr>
          <w:rFonts w:ascii="仿宋" w:hAnsi="仿宋" w:eastAsia="仿宋"/>
          <w:sz w:val="20"/>
          <w:szCs w:val="20"/>
        </w:rPr>
      </w:pPr>
      <w:r>
        <w:rPr>
          <w:rFonts w:ascii="仿宋" w:hAnsi="仿宋" w:eastAsia="仿宋" w:cs="宋体"/>
          <w:b/>
          <w:bCs/>
          <w:sz w:val="32"/>
          <w:szCs w:val="32"/>
        </w:rPr>
        <w:t>（三十</w:t>
      </w:r>
      <w:r>
        <w:rPr>
          <w:rFonts w:hint="eastAsia" w:ascii="仿宋" w:hAnsi="仿宋" w:eastAsia="仿宋" w:cs="宋体"/>
          <w:b/>
          <w:bCs/>
          <w:sz w:val="32"/>
          <w:szCs w:val="32"/>
        </w:rPr>
        <w:t>五</w:t>
      </w:r>
      <w:r>
        <w:rPr>
          <w:rFonts w:ascii="仿宋" w:hAnsi="仿宋" w:eastAsia="仿宋" w:cs="宋体"/>
          <w:b/>
          <w:bCs/>
          <w:sz w:val="32"/>
          <w:szCs w:val="32"/>
        </w:rPr>
        <w:t>）机关运行经费：</w:t>
      </w:r>
      <w:r>
        <w:rPr>
          <w:rFonts w:ascii="仿宋" w:hAnsi="仿宋" w:eastAsia="仿宋" w:cs="宋体"/>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0" w:lineRule="exact"/>
        <w:rPr>
          <w:rFonts w:ascii="仿宋" w:hAnsi="仿宋" w:eastAsia="仿宋"/>
          <w:sz w:val="20"/>
          <w:szCs w:val="20"/>
        </w:rPr>
      </w:pPr>
    </w:p>
    <w:p>
      <w:pPr>
        <w:spacing w:line="200" w:lineRule="exact"/>
        <w:rPr>
          <w:rFonts w:ascii="仿宋" w:hAnsi="仿宋" w:eastAsia="仿宋"/>
          <w:sz w:val="20"/>
          <w:szCs w:val="20"/>
        </w:rPr>
      </w:pPr>
    </w:p>
    <w:p>
      <w:pPr>
        <w:spacing w:line="200" w:lineRule="exact"/>
        <w:rPr>
          <w:rFonts w:ascii="仿宋" w:hAnsi="仿宋" w:eastAsia="仿宋"/>
          <w:sz w:val="20"/>
          <w:szCs w:val="20"/>
        </w:rPr>
      </w:pPr>
    </w:p>
    <w:p>
      <w:pPr>
        <w:spacing w:line="200" w:lineRule="exact"/>
        <w:rPr>
          <w:rFonts w:ascii="仿宋" w:hAnsi="仿宋" w:eastAsia="仿宋"/>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77" w:lineRule="exact"/>
        <w:rPr>
          <w:sz w:val="20"/>
          <w:szCs w:val="20"/>
        </w:rPr>
      </w:pPr>
    </w:p>
    <w:p>
      <w:pPr>
        <w:spacing w:line="159" w:lineRule="exact"/>
        <w:rPr>
          <w:sz w:val="20"/>
          <w:szCs w:val="20"/>
        </w:rPr>
      </w:pPr>
      <w:bookmarkStart w:id="26" w:name="page48"/>
      <w:bookmarkEnd w:id="26"/>
    </w:p>
    <w:sectPr>
      <w:pgSz w:w="11900" w:h="16838"/>
      <w:pgMar w:top="1440" w:right="1440" w:bottom="639"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059306"/>
    </w:sdtPr>
    <w:sdtContent>
      <w:p>
        <w:pPr>
          <w:pStyle w:val="2"/>
          <w:jc w:val="center"/>
        </w:pPr>
        <w:r>
          <w:fldChar w:fldCharType="begin"/>
        </w:r>
        <w:r>
          <w:instrText xml:space="preserve">PAGE   \* MERGEFORMAT</w:instrText>
        </w:r>
        <w:r>
          <w:fldChar w:fldCharType="separate"/>
        </w:r>
        <w:r>
          <w:rPr>
            <w:lang w:val="zh-CN"/>
          </w:rPr>
          <w:t>22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DQzYzE3NWRiNjE0OTVkOGViZWE4N2I4ZDBhMGUifQ=="/>
  </w:docVars>
  <w:rsids>
    <w:rsidRoot w:val="008A543C"/>
    <w:rsid w:val="00007BC7"/>
    <w:rsid w:val="000276D5"/>
    <w:rsid w:val="00046571"/>
    <w:rsid w:val="000832DE"/>
    <w:rsid w:val="000B3235"/>
    <w:rsid w:val="00100BDB"/>
    <w:rsid w:val="0012682E"/>
    <w:rsid w:val="00131EB4"/>
    <w:rsid w:val="00134C62"/>
    <w:rsid w:val="00146B45"/>
    <w:rsid w:val="00147750"/>
    <w:rsid w:val="001A4915"/>
    <w:rsid w:val="001A4A24"/>
    <w:rsid w:val="001F4079"/>
    <w:rsid w:val="00265E38"/>
    <w:rsid w:val="002C1284"/>
    <w:rsid w:val="002C33EE"/>
    <w:rsid w:val="002E5F1F"/>
    <w:rsid w:val="00300612"/>
    <w:rsid w:val="003049D1"/>
    <w:rsid w:val="00305274"/>
    <w:rsid w:val="00323FE1"/>
    <w:rsid w:val="00324668"/>
    <w:rsid w:val="003278DF"/>
    <w:rsid w:val="003372DB"/>
    <w:rsid w:val="003969A7"/>
    <w:rsid w:val="003B0676"/>
    <w:rsid w:val="003B2061"/>
    <w:rsid w:val="003B56C9"/>
    <w:rsid w:val="003F354F"/>
    <w:rsid w:val="00412C6A"/>
    <w:rsid w:val="00442218"/>
    <w:rsid w:val="0047436C"/>
    <w:rsid w:val="004C264E"/>
    <w:rsid w:val="004C374A"/>
    <w:rsid w:val="004D2545"/>
    <w:rsid w:val="00505F6C"/>
    <w:rsid w:val="0053779F"/>
    <w:rsid w:val="005670C6"/>
    <w:rsid w:val="005A3935"/>
    <w:rsid w:val="005D462C"/>
    <w:rsid w:val="00611F0B"/>
    <w:rsid w:val="00622271"/>
    <w:rsid w:val="0066224E"/>
    <w:rsid w:val="00680AB3"/>
    <w:rsid w:val="006D2A88"/>
    <w:rsid w:val="006D73C9"/>
    <w:rsid w:val="006F229B"/>
    <w:rsid w:val="00700B3B"/>
    <w:rsid w:val="00704F87"/>
    <w:rsid w:val="0071229F"/>
    <w:rsid w:val="0072059C"/>
    <w:rsid w:val="00752D00"/>
    <w:rsid w:val="00760053"/>
    <w:rsid w:val="007805CF"/>
    <w:rsid w:val="00821C00"/>
    <w:rsid w:val="0083445B"/>
    <w:rsid w:val="00836092"/>
    <w:rsid w:val="008367AE"/>
    <w:rsid w:val="00837CA8"/>
    <w:rsid w:val="00874805"/>
    <w:rsid w:val="0088255B"/>
    <w:rsid w:val="00883045"/>
    <w:rsid w:val="008A27A0"/>
    <w:rsid w:val="008A543C"/>
    <w:rsid w:val="008A65D2"/>
    <w:rsid w:val="008B2FC3"/>
    <w:rsid w:val="008F0339"/>
    <w:rsid w:val="00926407"/>
    <w:rsid w:val="00944BCC"/>
    <w:rsid w:val="00963334"/>
    <w:rsid w:val="00966598"/>
    <w:rsid w:val="0098563F"/>
    <w:rsid w:val="009E07C7"/>
    <w:rsid w:val="009E115C"/>
    <w:rsid w:val="009E3CB7"/>
    <w:rsid w:val="009F2898"/>
    <w:rsid w:val="00A0779B"/>
    <w:rsid w:val="00A13B62"/>
    <w:rsid w:val="00A17703"/>
    <w:rsid w:val="00A20509"/>
    <w:rsid w:val="00A248B7"/>
    <w:rsid w:val="00A30AA2"/>
    <w:rsid w:val="00A30F72"/>
    <w:rsid w:val="00A44D9D"/>
    <w:rsid w:val="00A46E2E"/>
    <w:rsid w:val="00A67785"/>
    <w:rsid w:val="00AA7AD3"/>
    <w:rsid w:val="00AF5A27"/>
    <w:rsid w:val="00B10813"/>
    <w:rsid w:val="00B11D1F"/>
    <w:rsid w:val="00B17376"/>
    <w:rsid w:val="00B24D5F"/>
    <w:rsid w:val="00B55F21"/>
    <w:rsid w:val="00B63755"/>
    <w:rsid w:val="00BA1720"/>
    <w:rsid w:val="00BB6EC5"/>
    <w:rsid w:val="00C02431"/>
    <w:rsid w:val="00C04764"/>
    <w:rsid w:val="00C118CD"/>
    <w:rsid w:val="00C21F58"/>
    <w:rsid w:val="00C24E90"/>
    <w:rsid w:val="00C26409"/>
    <w:rsid w:val="00C346BC"/>
    <w:rsid w:val="00C576D9"/>
    <w:rsid w:val="00C81545"/>
    <w:rsid w:val="00C94B0D"/>
    <w:rsid w:val="00C95C86"/>
    <w:rsid w:val="00CB1C6C"/>
    <w:rsid w:val="00CC426E"/>
    <w:rsid w:val="00CF609B"/>
    <w:rsid w:val="00D244F3"/>
    <w:rsid w:val="00D279E3"/>
    <w:rsid w:val="00D82FBB"/>
    <w:rsid w:val="00DB60B9"/>
    <w:rsid w:val="00E17CDA"/>
    <w:rsid w:val="00E23288"/>
    <w:rsid w:val="00E338B1"/>
    <w:rsid w:val="00E5660D"/>
    <w:rsid w:val="00E67F69"/>
    <w:rsid w:val="00E74482"/>
    <w:rsid w:val="00E846A8"/>
    <w:rsid w:val="00EB6C4E"/>
    <w:rsid w:val="00EC23B4"/>
    <w:rsid w:val="00ED19CD"/>
    <w:rsid w:val="00EF0B45"/>
    <w:rsid w:val="00EF7DBD"/>
    <w:rsid w:val="00F358F2"/>
    <w:rsid w:val="00F47DA4"/>
    <w:rsid w:val="00F710D0"/>
    <w:rsid w:val="00F76F2D"/>
    <w:rsid w:val="00FA5AB9"/>
    <w:rsid w:val="2FFFDC35"/>
    <w:rsid w:val="35FFFA68"/>
    <w:rsid w:val="47BF8D61"/>
    <w:rsid w:val="4EFE8AA7"/>
    <w:rsid w:val="5AC92EC6"/>
    <w:rsid w:val="677F483B"/>
    <w:rsid w:val="6AEF2D1B"/>
    <w:rsid w:val="6DFDF07A"/>
    <w:rsid w:val="7366B1DC"/>
    <w:rsid w:val="73FF2B2F"/>
    <w:rsid w:val="7A5B54B5"/>
    <w:rsid w:val="7EF7C32A"/>
    <w:rsid w:val="7F5C5054"/>
    <w:rsid w:val="7F7B159B"/>
    <w:rsid w:val="7F7BF2A9"/>
    <w:rsid w:val="7FB710EB"/>
    <w:rsid w:val="7FDFBEE4"/>
    <w:rsid w:val="7FF70844"/>
    <w:rsid w:val="7FFF2AA2"/>
    <w:rsid w:val="9CDFF8D9"/>
    <w:rsid w:val="DF3E5E2D"/>
    <w:rsid w:val="E06A2BB0"/>
    <w:rsid w:val="EBB54356"/>
    <w:rsid w:val="EFF510D4"/>
    <w:rsid w:val="F9DFACB2"/>
    <w:rsid w:val="FDBE7A4C"/>
    <w:rsid w:val="FDFF4E98"/>
    <w:rsid w:val="FEFCD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p0"/>
    <w:basedOn w:val="1"/>
    <w:qFormat/>
    <w:uiPriority w:val="0"/>
    <w:pPr>
      <w:jc w:val="both"/>
    </w:pPr>
    <w:rPr>
      <w:rFonts w:eastAsia="宋体"/>
      <w:sz w:val="21"/>
      <w:szCs w:val="21"/>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国家统计局</Company>
  <Pages>1</Pages>
  <Words>2166</Words>
  <Characters>12349</Characters>
  <Lines>102</Lines>
  <Paragraphs>28</Paragraphs>
  <TotalTime>722</TotalTime>
  <ScaleCrop>false</ScaleCrop>
  <LinksUpToDate>false</LinksUpToDate>
  <CharactersWithSpaces>14487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2021-07-28T20:05:00Z</dcterms:created>
  <dc:creator>Windows User</dc:creator>
  <cp:lastModifiedBy>段</cp:lastModifiedBy>
  <dcterms:modified xsi:type="dcterms:W3CDTF">2023-08-15T08:24:38Z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9C031D6CF2764EF593DE840A77F63A5D_12</vt:lpwstr>
  </property>
</Properties>
</file>